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772" w:line="259" w:lineRule="auto"/>
        <w:ind w:left="142"/>
      </w:pPr>
      <w:r>
        <w:rPr>
          <w:sz w:val="22"/>
        </w:rPr>
        <w:t xml:space="preserve"> </w:t>
      </w:r>
    </w:p>
    <w:p w:rsidR="00E76D14" w:rsidRPr="00E76D14" w:rsidRDefault="00E76D14" w:rsidP="00B46CB7">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i/>
          <w:color w:val="auto"/>
          <w:sz w:val="28"/>
          <w:szCs w:val="28"/>
          <w:lang w:eastAsia="en-US"/>
        </w:rPr>
      </w:pPr>
      <w:r w:rsidRPr="00E76D14">
        <w:rPr>
          <w:rFonts w:ascii="Arial" w:eastAsiaTheme="minorHAnsi" w:hAnsi="Arial" w:cs="Arial"/>
          <w:b/>
          <w:i/>
          <w:color w:val="auto"/>
          <w:sz w:val="28"/>
          <w:szCs w:val="28"/>
          <w:lang w:eastAsia="en-US"/>
        </w:rPr>
        <w:t>CORRETTO UTILIZZO DELLE SOLUZIONI CONCENTRATE DI CLORURO DI POTASSIO – KCL-  ED ALTRE SOLUZIONI CONCENTRATE CONTENENTI POTASSIO</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215" w:line="259" w:lineRule="auto"/>
        <w:ind w:left="142"/>
      </w:pPr>
      <w:r>
        <w:rPr>
          <w:sz w:val="22"/>
        </w:rPr>
        <w:t xml:space="preserve"> </w:t>
      </w:r>
    </w:p>
    <w:p w:rsidR="00A22635" w:rsidRDefault="00253598">
      <w:pPr>
        <w:spacing w:after="3506" w:line="259" w:lineRule="auto"/>
        <w:ind w:left="142"/>
        <w:rPr>
          <w:sz w:val="22"/>
        </w:rPr>
      </w:pPr>
      <w:r>
        <w:rPr>
          <w:sz w:val="22"/>
        </w:rPr>
        <w:t xml:space="preserve"> </w:t>
      </w:r>
    </w:p>
    <w:p w:rsidR="00442236" w:rsidRDefault="00442236">
      <w:pPr>
        <w:spacing w:after="3506" w:line="259" w:lineRule="auto"/>
        <w:ind w:left="142"/>
      </w:pPr>
    </w:p>
    <w:p w:rsidR="00A22635" w:rsidRDefault="00253598">
      <w:pPr>
        <w:spacing w:line="259" w:lineRule="auto"/>
        <w:ind w:left="142"/>
      </w:pPr>
      <w:r>
        <w:rPr>
          <w:rFonts w:ascii="Arial" w:eastAsia="Arial" w:hAnsi="Arial" w:cs="Arial"/>
          <w:sz w:val="20"/>
        </w:rPr>
        <w:lastRenderedPageBreak/>
        <w:t xml:space="preserve"> </w:t>
      </w:r>
    </w:p>
    <w:p w:rsidR="00A22635" w:rsidRDefault="00253598">
      <w:pPr>
        <w:spacing w:line="259" w:lineRule="auto"/>
        <w:ind w:left="142"/>
      </w:pPr>
      <w:r>
        <w:rPr>
          <w:rFonts w:ascii="Arial" w:eastAsia="Arial" w:hAnsi="Arial" w:cs="Arial"/>
          <w:sz w:val="20"/>
        </w:rPr>
        <w:t xml:space="preserve"> </w:t>
      </w:r>
    </w:p>
    <w:p w:rsidR="00A22635" w:rsidRDefault="00253598">
      <w:pPr>
        <w:spacing w:line="259" w:lineRule="auto"/>
        <w:ind w:left="142"/>
      </w:pPr>
      <w:r>
        <w:rPr>
          <w:rFonts w:ascii="Arial" w:eastAsia="Arial" w:hAnsi="Arial" w:cs="Arial"/>
          <w:sz w:val="18"/>
        </w:rPr>
        <w:t xml:space="preserve"> </w:t>
      </w:r>
    </w:p>
    <w:p w:rsidR="00A22635" w:rsidRDefault="00253598">
      <w:pPr>
        <w:spacing w:after="176" w:line="259" w:lineRule="auto"/>
        <w:ind w:right="3582"/>
        <w:jc w:val="right"/>
      </w:pPr>
      <w:bookmarkStart w:id="0" w:name="_GoBack"/>
      <w:bookmarkEnd w:id="0"/>
      <w:r>
        <w:rPr>
          <w:b/>
          <w:i/>
        </w:rPr>
        <w:t xml:space="preserve">ELENCO DELLE REVISIONI </w:t>
      </w:r>
    </w:p>
    <w:p w:rsidR="00A22635" w:rsidRDefault="00253598">
      <w:pPr>
        <w:spacing w:line="259" w:lineRule="auto"/>
        <w:ind w:left="142"/>
      </w:pPr>
      <w:r>
        <w:rPr>
          <w:sz w:val="20"/>
        </w:rPr>
        <w:t xml:space="preserve"> </w:t>
      </w:r>
    </w:p>
    <w:tbl>
      <w:tblPr>
        <w:tblStyle w:val="TableGrid"/>
        <w:tblW w:w="10169" w:type="dxa"/>
        <w:tblInd w:w="36" w:type="dxa"/>
        <w:tblCellMar>
          <w:top w:w="114" w:type="dxa"/>
          <w:left w:w="106" w:type="dxa"/>
          <w:right w:w="73" w:type="dxa"/>
        </w:tblCellMar>
        <w:tblLook w:val="04A0" w:firstRow="1" w:lastRow="0" w:firstColumn="1" w:lastColumn="0" w:noHBand="0" w:noVBand="1"/>
      </w:tblPr>
      <w:tblGrid>
        <w:gridCol w:w="2443"/>
        <w:gridCol w:w="5602"/>
        <w:gridCol w:w="851"/>
        <w:gridCol w:w="1273"/>
      </w:tblGrid>
      <w:tr w:rsidR="00A22635">
        <w:trPr>
          <w:trHeight w:val="482"/>
        </w:trPr>
        <w:tc>
          <w:tcPr>
            <w:tcW w:w="244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A22635" w:rsidRDefault="00253598">
            <w:pPr>
              <w:spacing w:line="259" w:lineRule="auto"/>
              <w:ind w:right="40"/>
              <w:jc w:val="center"/>
            </w:pPr>
            <w:r>
              <w:rPr>
                <w:b/>
                <w:sz w:val="20"/>
              </w:rPr>
              <w:t xml:space="preserve">Paragrafo </w:t>
            </w:r>
          </w:p>
        </w:tc>
        <w:tc>
          <w:tcPr>
            <w:tcW w:w="560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A22635" w:rsidRDefault="00253598">
            <w:pPr>
              <w:spacing w:line="259" w:lineRule="auto"/>
              <w:ind w:right="35"/>
              <w:jc w:val="center"/>
            </w:pPr>
            <w:r>
              <w:rPr>
                <w:b/>
                <w:sz w:val="20"/>
              </w:rPr>
              <w:t xml:space="preserve">Descrizione Modifica </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A22635" w:rsidRDefault="00253598">
            <w:pPr>
              <w:spacing w:line="259" w:lineRule="auto"/>
              <w:ind w:left="12"/>
            </w:pPr>
            <w:r>
              <w:rPr>
                <w:b/>
                <w:sz w:val="20"/>
              </w:rPr>
              <w:t xml:space="preserve">Rev. N. </w:t>
            </w:r>
          </w:p>
        </w:tc>
        <w:tc>
          <w:tcPr>
            <w:tcW w:w="127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A22635" w:rsidRDefault="00253598">
            <w:pPr>
              <w:spacing w:line="259" w:lineRule="auto"/>
              <w:ind w:right="34"/>
              <w:jc w:val="center"/>
            </w:pPr>
            <w:r>
              <w:rPr>
                <w:b/>
                <w:sz w:val="20"/>
              </w:rPr>
              <w:t xml:space="preserve">Data Rev. </w:t>
            </w:r>
          </w:p>
        </w:tc>
      </w:tr>
      <w:tr w:rsidR="00A22635">
        <w:trPr>
          <w:trHeight w:val="366"/>
        </w:trPr>
        <w:tc>
          <w:tcPr>
            <w:tcW w:w="2443"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pPr>
            <w:r>
              <w:rPr>
                <w:sz w:val="20"/>
              </w:rPr>
              <w:t xml:space="preserve"> </w:t>
            </w:r>
          </w:p>
        </w:tc>
        <w:tc>
          <w:tcPr>
            <w:tcW w:w="5602"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2"/>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2"/>
            </w:pPr>
            <w:r>
              <w:rPr>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4"/>
            </w:pPr>
            <w:r>
              <w:rPr>
                <w:sz w:val="20"/>
              </w:rPr>
              <w:t xml:space="preserve"> </w:t>
            </w:r>
          </w:p>
        </w:tc>
      </w:tr>
      <w:tr w:rsidR="00A22635">
        <w:trPr>
          <w:trHeight w:val="365"/>
        </w:trPr>
        <w:tc>
          <w:tcPr>
            <w:tcW w:w="2443"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pPr>
            <w:r>
              <w:rPr>
                <w:sz w:val="20"/>
              </w:rPr>
              <w:t xml:space="preserve"> </w:t>
            </w:r>
          </w:p>
        </w:tc>
        <w:tc>
          <w:tcPr>
            <w:tcW w:w="5602"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2"/>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2"/>
            </w:pPr>
            <w:r>
              <w:rPr>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4"/>
            </w:pPr>
            <w:r>
              <w:rPr>
                <w:sz w:val="20"/>
              </w:rPr>
              <w:t xml:space="preserve"> </w:t>
            </w:r>
          </w:p>
        </w:tc>
      </w:tr>
      <w:tr w:rsidR="00A22635">
        <w:trPr>
          <w:trHeight w:val="365"/>
        </w:trPr>
        <w:tc>
          <w:tcPr>
            <w:tcW w:w="2443"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pPr>
            <w:r>
              <w:rPr>
                <w:sz w:val="20"/>
              </w:rPr>
              <w:t xml:space="preserve"> </w:t>
            </w:r>
          </w:p>
        </w:tc>
        <w:tc>
          <w:tcPr>
            <w:tcW w:w="5602"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2"/>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2"/>
            </w:pPr>
            <w:r>
              <w:rPr>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A22635" w:rsidRDefault="00253598">
            <w:pPr>
              <w:spacing w:line="259" w:lineRule="auto"/>
              <w:ind w:left="4"/>
            </w:pPr>
            <w:r>
              <w:rPr>
                <w:sz w:val="20"/>
              </w:rPr>
              <w:t xml:space="preserve"> </w:t>
            </w:r>
          </w:p>
        </w:tc>
      </w:tr>
    </w:tbl>
    <w:p w:rsidR="00A22635" w:rsidRDefault="00253598">
      <w:pPr>
        <w:spacing w:after="215" w:line="259" w:lineRule="auto"/>
        <w:ind w:left="142"/>
      </w:pPr>
      <w:r>
        <w:rPr>
          <w:sz w:val="22"/>
        </w:rPr>
        <w:t xml:space="preserve"> </w:t>
      </w:r>
    </w:p>
    <w:p w:rsidR="00A22635" w:rsidRDefault="00253598">
      <w:pPr>
        <w:spacing w:after="213" w:line="259" w:lineRule="auto"/>
        <w:ind w:left="142"/>
      </w:pPr>
      <w:r>
        <w:rPr>
          <w:sz w:val="22"/>
        </w:rPr>
        <w:t xml:space="preserve"> </w:t>
      </w:r>
    </w:p>
    <w:p w:rsidR="00A22635" w:rsidRDefault="00253598">
      <w:pPr>
        <w:spacing w:after="234" w:line="259" w:lineRule="auto"/>
        <w:ind w:left="142"/>
      </w:pPr>
      <w:r>
        <w:rPr>
          <w:sz w:val="22"/>
        </w:rPr>
        <w:t xml:space="preserve"> </w:t>
      </w:r>
    </w:p>
    <w:p w:rsidR="00A22635" w:rsidRDefault="00253598">
      <w:pPr>
        <w:spacing w:line="259" w:lineRule="auto"/>
        <w:ind w:left="142"/>
      </w:pPr>
      <w:r>
        <w:rPr>
          <w:sz w:val="22"/>
        </w:rPr>
        <w:t xml:space="preserve"> </w:t>
      </w:r>
      <w:r>
        <w:rPr>
          <w:sz w:val="22"/>
        </w:rPr>
        <w:tab/>
      </w:r>
      <w:r>
        <w:rPr>
          <w:b/>
          <w:sz w:val="22"/>
        </w:rPr>
        <w:t xml:space="preserve"> </w:t>
      </w:r>
      <w:r>
        <w:br w:type="page"/>
      </w:r>
    </w:p>
    <w:p w:rsidR="00A22635" w:rsidRDefault="00253598">
      <w:pPr>
        <w:pStyle w:val="Titolo1"/>
        <w:spacing w:after="295"/>
        <w:ind w:left="142" w:firstLine="0"/>
      </w:pPr>
      <w:r>
        <w:rPr>
          <w:color w:val="365F91"/>
          <w:sz w:val="28"/>
        </w:rPr>
        <w:lastRenderedPageBreak/>
        <w:t xml:space="preserve">Indice </w:t>
      </w:r>
    </w:p>
    <w:p w:rsidR="00A22635" w:rsidRDefault="00253598" w:rsidP="00B023DB">
      <w:pPr>
        <w:tabs>
          <w:tab w:val="center" w:pos="240"/>
          <w:tab w:val="center" w:pos="5176"/>
        </w:tabs>
        <w:spacing w:after="336" w:line="80" w:lineRule="atLeast"/>
      </w:pPr>
      <w:r>
        <w:rPr>
          <w:rFonts w:ascii="Calibri" w:eastAsia="Calibri" w:hAnsi="Calibri" w:cs="Calibri"/>
          <w:sz w:val="22"/>
        </w:rPr>
        <w:tab/>
      </w:r>
      <w:r>
        <w:rPr>
          <w:b/>
        </w:rPr>
        <w:t>1.</w:t>
      </w:r>
      <w:r>
        <w:rPr>
          <w:b/>
          <w:sz w:val="22"/>
        </w:rPr>
        <w:t xml:space="preserve"> </w:t>
      </w:r>
      <w:r>
        <w:rPr>
          <w:b/>
          <w:sz w:val="22"/>
        </w:rPr>
        <w:tab/>
      </w:r>
      <w:r w:rsidR="00A40F98">
        <w:rPr>
          <w:b/>
        </w:rPr>
        <w:t>Campo di applicazione</w:t>
      </w:r>
      <w:r>
        <w:rPr>
          <w:b/>
        </w:rPr>
        <w:t>........................................................................................................................ 4</w:t>
      </w:r>
      <w:r>
        <w:rPr>
          <w:b/>
          <w:sz w:val="22"/>
        </w:rPr>
        <w:t xml:space="preserve"> </w:t>
      </w:r>
    </w:p>
    <w:p w:rsidR="00A22635" w:rsidRDefault="00253598" w:rsidP="00B023DB">
      <w:pPr>
        <w:pStyle w:val="Titolo2"/>
        <w:tabs>
          <w:tab w:val="center" w:pos="240"/>
          <w:tab w:val="center" w:pos="5176"/>
        </w:tabs>
        <w:spacing w:after="66" w:line="80" w:lineRule="atLeast"/>
        <w:ind w:left="0" w:firstLine="0"/>
      </w:pPr>
      <w:r>
        <w:rPr>
          <w:rFonts w:ascii="Calibri" w:eastAsia="Calibri" w:hAnsi="Calibri" w:cs="Calibri"/>
          <w:b w:val="0"/>
          <w:sz w:val="22"/>
        </w:rPr>
        <w:tab/>
      </w:r>
      <w:r>
        <w:t>2.</w:t>
      </w:r>
      <w:r>
        <w:rPr>
          <w:sz w:val="22"/>
        </w:rPr>
        <w:t xml:space="preserve"> </w:t>
      </w:r>
      <w:r>
        <w:rPr>
          <w:sz w:val="22"/>
        </w:rPr>
        <w:tab/>
      </w:r>
      <w:r w:rsidR="00A40F98">
        <w:t>Scopo……………………………………………</w:t>
      </w:r>
      <w:r>
        <w:t>................................................................................................. 4</w:t>
      </w:r>
      <w:r>
        <w:rPr>
          <w:sz w:val="22"/>
        </w:rPr>
        <w:t xml:space="preserve"> </w:t>
      </w:r>
    </w:p>
    <w:p w:rsidR="00A22635" w:rsidRDefault="00253598" w:rsidP="00B023DB">
      <w:pPr>
        <w:tabs>
          <w:tab w:val="center" w:pos="282"/>
          <w:tab w:val="center" w:pos="5286"/>
        </w:tabs>
        <w:spacing w:after="6" w:line="80" w:lineRule="atLeast"/>
      </w:pPr>
      <w:r>
        <w:rPr>
          <w:rFonts w:ascii="Calibri" w:eastAsia="Calibri" w:hAnsi="Calibri" w:cs="Calibri"/>
          <w:sz w:val="22"/>
        </w:rPr>
        <w:tab/>
      </w:r>
      <w:r>
        <w:rPr>
          <w:sz w:val="22"/>
        </w:rPr>
        <w:t xml:space="preserve"> </w:t>
      </w:r>
    </w:p>
    <w:p w:rsidR="00A22635" w:rsidRDefault="00253598" w:rsidP="00B023DB">
      <w:pPr>
        <w:pStyle w:val="Titolo2"/>
        <w:tabs>
          <w:tab w:val="center" w:pos="240"/>
          <w:tab w:val="center" w:pos="5176"/>
        </w:tabs>
        <w:spacing w:line="80" w:lineRule="atLeast"/>
        <w:ind w:left="0" w:firstLine="0"/>
      </w:pPr>
      <w:r>
        <w:rPr>
          <w:rFonts w:ascii="Calibri" w:eastAsia="Calibri" w:hAnsi="Calibri" w:cs="Calibri"/>
          <w:b w:val="0"/>
          <w:sz w:val="22"/>
        </w:rPr>
        <w:tab/>
      </w:r>
      <w:r>
        <w:t>3.</w:t>
      </w:r>
      <w:r>
        <w:rPr>
          <w:sz w:val="22"/>
        </w:rPr>
        <w:t xml:space="preserve"> </w:t>
      </w:r>
      <w:r>
        <w:rPr>
          <w:sz w:val="22"/>
        </w:rPr>
        <w:tab/>
      </w:r>
      <w:r w:rsidR="00A40F98">
        <w:t>Documenti di riferimento..</w:t>
      </w:r>
      <w:r>
        <w:t>...................................................................................</w:t>
      </w:r>
      <w:r w:rsidR="00B7397C">
        <w:t>.............................. 4</w:t>
      </w:r>
      <w:r>
        <w:rPr>
          <w:sz w:val="22"/>
        </w:rPr>
        <w:t xml:space="preserve"> </w:t>
      </w:r>
    </w:p>
    <w:p w:rsidR="00A22635" w:rsidRDefault="00253598" w:rsidP="00B023DB">
      <w:pPr>
        <w:tabs>
          <w:tab w:val="center" w:pos="282"/>
          <w:tab w:val="center" w:pos="5286"/>
        </w:tabs>
        <w:spacing w:after="6" w:line="80" w:lineRule="atLeast"/>
      </w:pPr>
      <w:r>
        <w:rPr>
          <w:rFonts w:ascii="Calibri" w:eastAsia="Calibri" w:hAnsi="Calibri" w:cs="Calibri"/>
          <w:sz w:val="22"/>
        </w:rPr>
        <w:tab/>
      </w:r>
      <w:r>
        <w:rPr>
          <w:sz w:val="22"/>
        </w:rPr>
        <w:t xml:space="preserve"> </w:t>
      </w:r>
    </w:p>
    <w:p w:rsidR="00631770" w:rsidRDefault="00253598" w:rsidP="00B023DB">
      <w:pPr>
        <w:pStyle w:val="Titolo2"/>
        <w:tabs>
          <w:tab w:val="center" w:pos="240"/>
          <w:tab w:val="center" w:pos="5176"/>
        </w:tabs>
        <w:spacing w:after="63" w:line="80" w:lineRule="atLeast"/>
        <w:ind w:left="0" w:firstLine="0"/>
      </w:pPr>
      <w:r>
        <w:rPr>
          <w:rFonts w:ascii="Calibri" w:eastAsia="Calibri" w:hAnsi="Calibri" w:cs="Calibri"/>
          <w:b w:val="0"/>
          <w:sz w:val="22"/>
        </w:rPr>
        <w:tab/>
      </w:r>
      <w:r>
        <w:t>4.</w:t>
      </w:r>
      <w:r>
        <w:rPr>
          <w:sz w:val="22"/>
        </w:rPr>
        <w:t xml:space="preserve"> </w:t>
      </w:r>
      <w:r>
        <w:rPr>
          <w:sz w:val="22"/>
        </w:rPr>
        <w:tab/>
      </w:r>
      <w:r w:rsidR="00A40F98">
        <w:t>Modalità operative</w:t>
      </w:r>
      <w:r>
        <w:t>...................................................................................................</w:t>
      </w:r>
      <w:r w:rsidR="00B7397C">
        <w:t>.............................. 4</w:t>
      </w:r>
    </w:p>
    <w:p w:rsidR="00A22635" w:rsidRDefault="00253598" w:rsidP="00B023DB">
      <w:pPr>
        <w:pStyle w:val="Titolo2"/>
        <w:tabs>
          <w:tab w:val="center" w:pos="240"/>
          <w:tab w:val="center" w:pos="5176"/>
        </w:tabs>
        <w:spacing w:after="63" w:line="80" w:lineRule="atLeast"/>
        <w:ind w:left="0" w:firstLine="0"/>
      </w:pPr>
      <w:r>
        <w:rPr>
          <w:sz w:val="22"/>
        </w:rPr>
        <w:t xml:space="preserve"> </w:t>
      </w:r>
    </w:p>
    <w:p w:rsidR="00B7397C" w:rsidRDefault="00253598" w:rsidP="00B023DB">
      <w:pPr>
        <w:spacing w:after="360" w:line="80" w:lineRule="atLeast"/>
        <w:ind w:left="567" w:right="1"/>
        <w:rPr>
          <w:sz w:val="20"/>
        </w:rPr>
      </w:pPr>
      <w:r w:rsidRPr="00A40F98">
        <w:rPr>
          <w:sz w:val="20"/>
        </w:rPr>
        <w:t>4.1</w:t>
      </w:r>
      <w:r w:rsidR="00A40F98" w:rsidRPr="00A40F98">
        <w:rPr>
          <w:sz w:val="22"/>
        </w:rPr>
        <w:t xml:space="preserve"> Aree critiche di assistenza……...………………………………………………..</w:t>
      </w:r>
      <w:r w:rsidRPr="00A40F98">
        <w:rPr>
          <w:sz w:val="20"/>
        </w:rPr>
        <w:t>......................................</w:t>
      </w:r>
      <w:r w:rsidR="00B7397C">
        <w:rPr>
          <w:sz w:val="20"/>
        </w:rPr>
        <w:t>..................................4</w:t>
      </w:r>
    </w:p>
    <w:p w:rsidR="00A40F98" w:rsidRPr="00A40F98" w:rsidRDefault="00253598" w:rsidP="00B023DB">
      <w:pPr>
        <w:spacing w:after="360" w:line="80" w:lineRule="atLeast"/>
        <w:ind w:left="567" w:right="1"/>
        <w:rPr>
          <w:sz w:val="20"/>
        </w:rPr>
      </w:pPr>
      <w:r w:rsidRPr="00A40F98">
        <w:rPr>
          <w:sz w:val="20"/>
        </w:rPr>
        <w:t xml:space="preserve">4.2 </w:t>
      </w:r>
      <w:r w:rsidR="00A40F98" w:rsidRPr="00A40F98">
        <w:rPr>
          <w:sz w:val="20"/>
        </w:rPr>
        <w:t>Conservazione delle soluzioni concentrate di KCl ed altre sol</w:t>
      </w:r>
      <w:r w:rsidR="00A40F98">
        <w:rPr>
          <w:sz w:val="20"/>
        </w:rPr>
        <w:t xml:space="preserve">uzioni ad elevato contenuto di </w:t>
      </w:r>
      <w:r w:rsidR="00A40F98" w:rsidRPr="00A40F98">
        <w:rPr>
          <w:sz w:val="20"/>
        </w:rPr>
        <w:t>K….</w:t>
      </w:r>
      <w:r w:rsidR="00046B5A">
        <w:rPr>
          <w:sz w:val="20"/>
        </w:rPr>
        <w:t>...</w:t>
      </w:r>
      <w:r w:rsidR="00A40F98" w:rsidRPr="00A40F98">
        <w:rPr>
          <w:sz w:val="20"/>
        </w:rPr>
        <w:t>......</w:t>
      </w:r>
      <w:r w:rsidR="00B7397C">
        <w:rPr>
          <w:sz w:val="20"/>
        </w:rPr>
        <w:t>............5</w:t>
      </w:r>
    </w:p>
    <w:p w:rsidR="00A40F98" w:rsidRPr="00A40F98" w:rsidRDefault="00A40F98" w:rsidP="00B023DB">
      <w:pPr>
        <w:spacing w:after="360" w:line="80" w:lineRule="atLeast"/>
        <w:ind w:left="567"/>
        <w:rPr>
          <w:sz w:val="20"/>
        </w:rPr>
      </w:pPr>
      <w:r w:rsidRPr="00A40F98">
        <w:rPr>
          <w:sz w:val="20"/>
        </w:rPr>
        <w:t>4.3 Prescrizione delle soluzioni contenenti potassio……………………………………………………………………………………</w:t>
      </w:r>
      <w:r w:rsidR="00B7397C">
        <w:rPr>
          <w:sz w:val="20"/>
        </w:rPr>
        <w:t>5</w:t>
      </w:r>
    </w:p>
    <w:p w:rsidR="00A40F98" w:rsidRPr="00A40F98" w:rsidRDefault="00A40F98" w:rsidP="00B023DB">
      <w:pPr>
        <w:spacing w:after="360" w:line="80" w:lineRule="atLeast"/>
        <w:ind w:left="567"/>
        <w:rPr>
          <w:sz w:val="20"/>
        </w:rPr>
      </w:pPr>
      <w:r w:rsidRPr="00A40F98">
        <w:rPr>
          <w:sz w:val="20"/>
        </w:rPr>
        <w:t>4.4 Approvviggionamento delle soluzioni di potassio…………………………………………………………………………………</w:t>
      </w:r>
      <w:r w:rsidR="00B7397C">
        <w:rPr>
          <w:sz w:val="20"/>
        </w:rPr>
        <w:t>..5</w:t>
      </w:r>
    </w:p>
    <w:p w:rsidR="00A40F98" w:rsidRPr="00A40F98" w:rsidRDefault="00A40F98" w:rsidP="00B023DB">
      <w:pPr>
        <w:spacing w:after="360" w:line="80" w:lineRule="atLeast"/>
        <w:ind w:left="567"/>
        <w:rPr>
          <w:sz w:val="20"/>
        </w:rPr>
      </w:pPr>
      <w:r w:rsidRPr="00A40F98">
        <w:rPr>
          <w:sz w:val="20"/>
        </w:rPr>
        <w:t>4.5 Preparazione delle soluzioni diluite contenenti potassio……………………………………………………..........................</w:t>
      </w:r>
      <w:r w:rsidR="00B7397C">
        <w:rPr>
          <w:sz w:val="20"/>
        </w:rPr>
        <w:t>...6</w:t>
      </w:r>
    </w:p>
    <w:p w:rsidR="00A40F98" w:rsidRPr="00A40F98" w:rsidRDefault="00A40F98" w:rsidP="00B023DB">
      <w:pPr>
        <w:spacing w:after="360" w:line="80" w:lineRule="atLeast"/>
        <w:ind w:left="567"/>
        <w:rPr>
          <w:sz w:val="20"/>
        </w:rPr>
      </w:pPr>
      <w:r w:rsidRPr="00A40F98">
        <w:rPr>
          <w:sz w:val="20"/>
        </w:rPr>
        <w:t>4.6 Preparazione e somministrazione delle soluzioni contenenti potassio…………………………………………………</w:t>
      </w:r>
      <w:r w:rsidR="00B7397C">
        <w:rPr>
          <w:sz w:val="20"/>
        </w:rPr>
        <w:t>….6</w:t>
      </w:r>
    </w:p>
    <w:p w:rsidR="00A22635" w:rsidRPr="00A40F98" w:rsidRDefault="00A40F98" w:rsidP="00B023DB">
      <w:pPr>
        <w:spacing w:after="360" w:line="80" w:lineRule="atLeast"/>
        <w:ind w:left="567"/>
        <w:rPr>
          <w:sz w:val="20"/>
        </w:rPr>
      </w:pPr>
      <w:r w:rsidRPr="00A40F98">
        <w:rPr>
          <w:sz w:val="20"/>
        </w:rPr>
        <w:t>4.7 Gestione del processo di corretto utilizzo delle soluzioni di KCl……………………………………………………………</w:t>
      </w:r>
      <w:r w:rsidR="00B7397C">
        <w:rPr>
          <w:sz w:val="20"/>
        </w:rPr>
        <w:t>…</w:t>
      </w:r>
      <w:r w:rsidR="00B7397C">
        <w:rPr>
          <w:sz w:val="22"/>
        </w:rPr>
        <w:t>6</w:t>
      </w:r>
    </w:p>
    <w:p w:rsidR="00A22635" w:rsidRDefault="00253598" w:rsidP="00B023DB">
      <w:pPr>
        <w:tabs>
          <w:tab w:val="center" w:pos="240"/>
          <w:tab w:val="center" w:pos="5176"/>
        </w:tabs>
        <w:spacing w:after="79" w:line="80" w:lineRule="atLeast"/>
      </w:pPr>
      <w:r>
        <w:rPr>
          <w:rFonts w:ascii="Calibri" w:eastAsia="Calibri" w:hAnsi="Calibri" w:cs="Calibri"/>
          <w:sz w:val="22"/>
        </w:rPr>
        <w:tab/>
      </w:r>
      <w:r>
        <w:rPr>
          <w:b/>
        </w:rPr>
        <w:t>5.</w:t>
      </w:r>
      <w:r>
        <w:rPr>
          <w:b/>
          <w:sz w:val="22"/>
        </w:rPr>
        <w:t xml:space="preserve"> </w:t>
      </w:r>
      <w:r>
        <w:rPr>
          <w:b/>
          <w:sz w:val="22"/>
        </w:rPr>
        <w:tab/>
      </w:r>
      <w:r w:rsidR="00A40F98">
        <w:rPr>
          <w:b/>
        </w:rPr>
        <w:t>Allegati……………………</w:t>
      </w:r>
      <w:r w:rsidR="00AA6BB7">
        <w:rPr>
          <w:b/>
        </w:rPr>
        <w:t>….</w:t>
      </w:r>
      <w:r>
        <w:rPr>
          <w:b/>
        </w:rPr>
        <w:t>.....................................................................................</w:t>
      </w:r>
      <w:r w:rsidR="00B7397C">
        <w:rPr>
          <w:b/>
        </w:rPr>
        <w:t>.....................................6</w:t>
      </w:r>
      <w:r>
        <w:rPr>
          <w:b/>
          <w:sz w:val="22"/>
        </w:rPr>
        <w:t xml:space="preserve"> </w:t>
      </w:r>
    </w:p>
    <w:p w:rsidR="00A22635" w:rsidRDefault="00253598">
      <w:pPr>
        <w:spacing w:after="354" w:line="259" w:lineRule="auto"/>
        <w:ind w:left="142"/>
        <w:rPr>
          <w:sz w:val="22"/>
        </w:rPr>
      </w:pPr>
      <w:r>
        <w:rPr>
          <w:sz w:val="22"/>
        </w:rPr>
        <w:t xml:space="preserve"> </w:t>
      </w:r>
    </w:p>
    <w:p w:rsidR="0070719C" w:rsidRDefault="0070719C">
      <w:pPr>
        <w:spacing w:after="354" w:line="259" w:lineRule="auto"/>
        <w:ind w:left="142"/>
        <w:rPr>
          <w:sz w:val="22"/>
        </w:rPr>
      </w:pPr>
    </w:p>
    <w:p w:rsidR="0070719C" w:rsidRDefault="0070719C">
      <w:pPr>
        <w:spacing w:after="354" w:line="259" w:lineRule="auto"/>
        <w:ind w:left="142"/>
        <w:rPr>
          <w:sz w:val="22"/>
        </w:rPr>
      </w:pPr>
    </w:p>
    <w:p w:rsidR="0070719C" w:rsidRDefault="0070719C">
      <w:pPr>
        <w:spacing w:after="354" w:line="259" w:lineRule="auto"/>
        <w:ind w:left="142"/>
        <w:rPr>
          <w:sz w:val="22"/>
        </w:rPr>
      </w:pPr>
    </w:p>
    <w:p w:rsidR="0070719C" w:rsidRDefault="0070719C">
      <w:pPr>
        <w:spacing w:after="354" w:line="259" w:lineRule="auto"/>
        <w:ind w:left="142"/>
        <w:rPr>
          <w:sz w:val="22"/>
        </w:rPr>
      </w:pPr>
    </w:p>
    <w:p w:rsidR="0070719C" w:rsidRDefault="0070719C">
      <w:pPr>
        <w:spacing w:after="354" w:line="259" w:lineRule="auto"/>
        <w:ind w:left="142"/>
        <w:rPr>
          <w:sz w:val="22"/>
        </w:rPr>
      </w:pPr>
    </w:p>
    <w:p w:rsidR="0070719C" w:rsidRDefault="0070719C">
      <w:pPr>
        <w:spacing w:after="354" w:line="259" w:lineRule="auto"/>
        <w:ind w:left="142"/>
      </w:pPr>
    </w:p>
    <w:p w:rsidR="00046B5A" w:rsidRDefault="00046B5A">
      <w:pPr>
        <w:spacing w:after="354" w:line="259" w:lineRule="auto"/>
        <w:ind w:left="142"/>
      </w:pPr>
    </w:p>
    <w:p w:rsidR="00046B5A" w:rsidRDefault="00046B5A">
      <w:pPr>
        <w:spacing w:after="354" w:line="259" w:lineRule="auto"/>
        <w:ind w:left="142"/>
      </w:pPr>
    </w:p>
    <w:p w:rsidR="00A22635" w:rsidRDefault="00253598">
      <w:pPr>
        <w:spacing w:after="49" w:line="259" w:lineRule="auto"/>
        <w:ind w:left="142"/>
      </w:pPr>
      <w:r>
        <w:rPr>
          <w:b/>
        </w:rPr>
        <w:lastRenderedPageBreak/>
        <w:t xml:space="preserve"> </w:t>
      </w:r>
    </w:p>
    <w:p w:rsidR="00A22635" w:rsidRDefault="00253598">
      <w:pPr>
        <w:spacing w:line="259" w:lineRule="auto"/>
        <w:ind w:left="142"/>
      </w:pPr>
      <w:r>
        <w:rPr>
          <w:b/>
          <w:color w:val="FF0000"/>
          <w:sz w:val="32"/>
        </w:rPr>
        <w:t xml:space="preserve"> </w:t>
      </w:r>
      <w:r>
        <w:rPr>
          <w:b/>
          <w:color w:val="FF0000"/>
          <w:sz w:val="32"/>
        </w:rPr>
        <w:tab/>
        <w:t xml:space="preserve"> </w:t>
      </w:r>
    </w:p>
    <w:p w:rsidR="00185536" w:rsidRPr="00A40F98" w:rsidRDefault="0070719C" w:rsidP="00A3147B">
      <w:pPr>
        <w:pStyle w:val="Paragrafoelenco"/>
        <w:numPr>
          <w:ilvl w:val="0"/>
          <w:numId w:val="2"/>
        </w:numPr>
        <w:jc w:val="both"/>
        <w:rPr>
          <w:rFonts w:asciiTheme="minorHAnsi" w:eastAsiaTheme="minorHAnsi" w:hAnsiTheme="minorHAnsi" w:cstheme="minorBidi"/>
          <w:b/>
          <w:color w:val="auto"/>
          <w:sz w:val="22"/>
          <w:lang w:eastAsia="en-US"/>
        </w:rPr>
      </w:pPr>
      <w:r w:rsidRPr="00A40F98">
        <w:rPr>
          <w:rFonts w:asciiTheme="minorHAnsi" w:eastAsiaTheme="minorHAnsi" w:hAnsiTheme="minorHAnsi" w:cstheme="minorBidi"/>
          <w:b/>
          <w:color w:val="auto"/>
          <w:sz w:val="22"/>
          <w:lang w:eastAsia="en-US"/>
        </w:rPr>
        <w:t>Campo di applicazione</w:t>
      </w:r>
    </w:p>
    <w:p w:rsidR="0070719C" w:rsidRPr="00A40F98" w:rsidRDefault="0070719C" w:rsidP="00A3147B">
      <w:pPr>
        <w:jc w:val="both"/>
        <w:rPr>
          <w:rFonts w:asciiTheme="minorHAnsi" w:eastAsiaTheme="minorHAnsi" w:hAnsiTheme="minorHAnsi" w:cstheme="minorBidi"/>
          <w:b/>
          <w:color w:val="auto"/>
          <w:sz w:val="22"/>
          <w:lang w:eastAsia="en-US"/>
        </w:rPr>
      </w:pPr>
    </w:p>
    <w:p w:rsidR="00185536" w:rsidRPr="00A40F98" w:rsidRDefault="00185536" w:rsidP="00A3147B">
      <w:pPr>
        <w:spacing w:after="160" w:line="259" w:lineRule="auto"/>
        <w:jc w:val="both"/>
        <w:rPr>
          <w:rFonts w:asciiTheme="minorHAnsi" w:eastAsiaTheme="minorHAnsi" w:hAnsiTheme="minorHAnsi" w:cstheme="minorBidi"/>
          <w:color w:val="auto"/>
          <w:sz w:val="22"/>
          <w:lang w:eastAsia="en-US"/>
        </w:rPr>
      </w:pPr>
      <w:r w:rsidRPr="00A40F98">
        <w:rPr>
          <w:rFonts w:asciiTheme="minorHAnsi" w:eastAsiaTheme="minorHAnsi" w:hAnsiTheme="minorHAnsi" w:cstheme="minorBidi"/>
          <w:color w:val="auto"/>
          <w:sz w:val="22"/>
          <w:lang w:eastAsia="en-US"/>
        </w:rPr>
        <w:t xml:space="preserve">La presente procedura si applica alle soluzioni contenenti potassio cloruro (KCI) e alle altre soluzioni contenenti potassio (K) per </w:t>
      </w:r>
      <w:r w:rsidR="0070719C" w:rsidRPr="00A40F98">
        <w:rPr>
          <w:rFonts w:asciiTheme="minorHAnsi" w:eastAsiaTheme="minorHAnsi" w:hAnsiTheme="minorHAnsi" w:cstheme="minorBidi"/>
          <w:color w:val="auto"/>
          <w:sz w:val="22"/>
          <w:lang w:eastAsia="en-US"/>
        </w:rPr>
        <w:t>uso endovenoso (e.v.)</w:t>
      </w:r>
      <w:r w:rsidRPr="00A40F98">
        <w:rPr>
          <w:rFonts w:asciiTheme="minorHAnsi" w:eastAsiaTheme="minorHAnsi" w:hAnsiTheme="minorHAnsi" w:cstheme="minorBidi"/>
          <w:color w:val="auto"/>
          <w:sz w:val="22"/>
          <w:lang w:eastAsia="en-US"/>
        </w:rPr>
        <w:t xml:space="preserve"> con le seguenti concentrazioni:</w:t>
      </w:r>
    </w:p>
    <w:p w:rsidR="00185536" w:rsidRPr="00A40F98" w:rsidRDefault="00185536" w:rsidP="00A3147B">
      <w:pPr>
        <w:spacing w:after="160" w:line="259" w:lineRule="auto"/>
        <w:jc w:val="both"/>
        <w:rPr>
          <w:rFonts w:asciiTheme="minorHAnsi" w:eastAsiaTheme="minorHAnsi" w:hAnsiTheme="minorHAnsi" w:cstheme="minorBidi"/>
          <w:color w:val="auto"/>
          <w:sz w:val="22"/>
          <w:lang w:eastAsia="en-US"/>
        </w:rPr>
      </w:pPr>
      <w:r w:rsidRPr="00A40F98">
        <w:rPr>
          <w:rFonts w:asciiTheme="minorHAnsi" w:eastAsiaTheme="minorHAnsi" w:hAnsiTheme="minorHAnsi" w:cstheme="minorBidi"/>
          <w:color w:val="auto"/>
          <w:sz w:val="22"/>
          <w:lang w:eastAsia="en-US"/>
        </w:rPr>
        <w:t>. 1 meq/ml</w:t>
      </w:r>
    </w:p>
    <w:p w:rsidR="00185536" w:rsidRPr="00A40F98" w:rsidRDefault="00185536" w:rsidP="00A3147B">
      <w:pPr>
        <w:spacing w:after="160" w:line="259" w:lineRule="auto"/>
        <w:jc w:val="both"/>
        <w:rPr>
          <w:rFonts w:asciiTheme="minorHAnsi" w:eastAsiaTheme="minorHAnsi" w:hAnsiTheme="minorHAnsi" w:cstheme="minorBidi"/>
          <w:color w:val="auto"/>
          <w:sz w:val="22"/>
          <w:lang w:eastAsia="en-US"/>
        </w:rPr>
      </w:pPr>
      <w:r w:rsidRPr="00A40F98">
        <w:rPr>
          <w:rFonts w:asciiTheme="minorHAnsi" w:eastAsiaTheme="minorHAnsi" w:hAnsiTheme="minorHAnsi" w:cstheme="minorBidi"/>
          <w:color w:val="auto"/>
          <w:sz w:val="22"/>
          <w:lang w:eastAsia="en-US"/>
        </w:rPr>
        <w:t xml:space="preserve">· 2 meq/ml </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 3 meq/ml</w:t>
      </w:r>
    </w:p>
    <w:p w:rsidR="00185536" w:rsidRPr="00185536" w:rsidRDefault="002F7A29" w:rsidP="00A3147B">
      <w:pPr>
        <w:spacing w:after="160" w:line="259" w:lineRule="auto"/>
        <w:jc w:val="both"/>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N</w:t>
      </w:r>
      <w:r w:rsidR="00185536" w:rsidRPr="00185536">
        <w:rPr>
          <w:rFonts w:asciiTheme="minorHAnsi" w:eastAsiaTheme="minorHAnsi" w:hAnsiTheme="minorHAnsi" w:cstheme="minorBidi"/>
          <w:color w:val="auto"/>
          <w:sz w:val="22"/>
          <w:lang w:eastAsia="en-US"/>
        </w:rPr>
        <w:t xml:space="preserve">elle Farmacie Ospedaliere </w:t>
      </w:r>
      <w:r>
        <w:rPr>
          <w:rFonts w:asciiTheme="minorHAnsi" w:eastAsiaTheme="minorHAnsi" w:hAnsiTheme="minorHAnsi" w:cstheme="minorBidi"/>
          <w:color w:val="auto"/>
          <w:sz w:val="22"/>
          <w:lang w:eastAsia="en-US"/>
        </w:rPr>
        <w:t>è</w:t>
      </w:r>
      <w:r w:rsidR="00185536" w:rsidRPr="00185536">
        <w:rPr>
          <w:rFonts w:asciiTheme="minorHAnsi" w:eastAsiaTheme="minorHAnsi" w:hAnsiTheme="minorHAnsi" w:cstheme="minorBidi"/>
          <w:color w:val="auto"/>
          <w:sz w:val="22"/>
          <w:lang w:eastAsia="en-US"/>
        </w:rPr>
        <w:t xml:space="preserve"> reso disponibile solamente il KCL alla sola concentrazione di 2 meq/ml fiala da 10 ml (20 meq) e le soluzioni di Potassio Aspartato "K flebo” 30 meq/10 mI</w:t>
      </w:r>
      <w:r w:rsidRPr="002F7A29">
        <w:rPr>
          <w:rFonts w:asciiTheme="minorHAnsi" w:eastAsiaTheme="minorHAnsi" w:hAnsiTheme="minorHAnsi" w:cstheme="minorBidi"/>
          <w:color w:val="auto"/>
          <w:sz w:val="22"/>
          <w:lang w:eastAsia="en-US"/>
        </w:rPr>
        <w:t xml:space="preserve"> </w:t>
      </w:r>
      <w:r w:rsidRPr="00185536">
        <w:rPr>
          <w:rFonts w:asciiTheme="minorHAnsi" w:eastAsiaTheme="minorHAnsi" w:hAnsiTheme="minorHAnsi" w:cstheme="minorBidi"/>
          <w:color w:val="auto"/>
          <w:sz w:val="22"/>
          <w:lang w:eastAsia="en-US"/>
        </w:rPr>
        <w:t>(Delibera n.1318 del 10.11.2005 – Asl Teramo)</w:t>
      </w:r>
      <w:r>
        <w:rPr>
          <w:rFonts w:asciiTheme="minorHAnsi" w:eastAsiaTheme="minorHAnsi" w:hAnsiTheme="minorHAnsi" w:cstheme="minorBidi"/>
          <w:color w:val="auto"/>
          <w:sz w:val="22"/>
          <w:lang w:eastAsia="en-US"/>
        </w:rPr>
        <w:t>.</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70719C" w:rsidRDefault="0070719C" w:rsidP="00A3147B">
      <w:pPr>
        <w:pStyle w:val="Paragrafoelenco"/>
        <w:numPr>
          <w:ilvl w:val="0"/>
          <w:numId w:val="2"/>
        </w:numPr>
        <w:spacing w:after="160" w:line="259" w:lineRule="auto"/>
        <w:jc w:val="both"/>
        <w:rPr>
          <w:rFonts w:asciiTheme="minorHAnsi" w:eastAsiaTheme="minorHAnsi" w:hAnsiTheme="minorHAnsi" w:cstheme="minorBidi"/>
          <w:b/>
          <w:color w:val="auto"/>
          <w:sz w:val="22"/>
          <w:lang w:eastAsia="en-US"/>
        </w:rPr>
      </w:pPr>
      <w:r w:rsidRPr="0070719C">
        <w:rPr>
          <w:rFonts w:asciiTheme="minorHAnsi" w:eastAsiaTheme="minorHAnsi" w:hAnsiTheme="minorHAnsi" w:cstheme="minorBidi"/>
          <w:b/>
          <w:color w:val="auto"/>
          <w:sz w:val="22"/>
          <w:lang w:eastAsia="en-US"/>
        </w:rPr>
        <w:t>Scopo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Lo scopo della presente procedura è ridurre il rischio di sovradosaggio accidentale di K derivante dall'uso improprio di soluzioni concentrate di KCI e di altre soluzioni ad elevato contenuto di K, garantendo nel contempo la tempestiva disponibilità del farmaco in caso di bisogno.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70719C" w:rsidRDefault="00185536" w:rsidP="00A3147B">
      <w:pPr>
        <w:pStyle w:val="Paragrafoelenco"/>
        <w:numPr>
          <w:ilvl w:val="0"/>
          <w:numId w:val="2"/>
        </w:numPr>
        <w:spacing w:after="160" w:line="259" w:lineRule="auto"/>
        <w:jc w:val="both"/>
        <w:rPr>
          <w:rFonts w:asciiTheme="minorHAnsi" w:eastAsiaTheme="minorHAnsi" w:hAnsiTheme="minorHAnsi" w:cstheme="minorBidi"/>
          <w:b/>
          <w:color w:val="auto"/>
          <w:sz w:val="22"/>
          <w:lang w:eastAsia="en-US"/>
        </w:rPr>
      </w:pPr>
      <w:r w:rsidRPr="0070719C">
        <w:rPr>
          <w:rFonts w:asciiTheme="minorHAnsi" w:eastAsiaTheme="minorHAnsi" w:hAnsiTheme="minorHAnsi" w:cstheme="minorBidi"/>
          <w:b/>
          <w:color w:val="auto"/>
          <w:sz w:val="22"/>
          <w:lang w:eastAsia="en-US"/>
        </w:rPr>
        <w:t>Documenti di riferimento</w:t>
      </w:r>
    </w:p>
    <w:p w:rsidR="00185536" w:rsidRPr="00185536" w:rsidRDefault="00185536" w:rsidP="00A3147B">
      <w:pPr>
        <w:spacing w:after="160"/>
        <w:jc w:val="both"/>
        <w:rPr>
          <w:rFonts w:ascii="Calibri" w:eastAsiaTheme="minorHAnsi" w:hAnsi="Calibri" w:cs="Times New Roman"/>
          <w:i/>
          <w:iCs/>
          <w:color w:val="auto"/>
          <w:sz w:val="22"/>
          <w:lang w:eastAsia="en-US"/>
        </w:rPr>
      </w:pPr>
      <w:r w:rsidRPr="00185536">
        <w:rPr>
          <w:rFonts w:ascii="Calibri" w:eastAsiaTheme="minorHAnsi" w:hAnsi="Calibri" w:cs="Times New Roman"/>
          <w:i/>
          <w:iCs/>
          <w:color w:val="auto"/>
          <w:sz w:val="22"/>
          <w:lang w:eastAsia="en-US"/>
        </w:rPr>
        <w:t xml:space="preserve">Raccomandazione sul corretto utilizzo delle soluzioni concentrate di cloruro di potassio </w:t>
      </w:r>
      <w:r w:rsidRPr="00185536">
        <w:rPr>
          <w:rFonts w:ascii="Calibri" w:eastAsiaTheme="minorHAnsi" w:hAnsi="Calibri" w:cs="Times New Roman"/>
          <w:i/>
          <w:color w:val="auto"/>
          <w:sz w:val="22"/>
          <w:lang w:eastAsia="en-US"/>
        </w:rPr>
        <w:t>– KCL-- ed altre soluzioni concentrate contenenti potassio.</w:t>
      </w:r>
      <w:r w:rsidRPr="00185536">
        <w:rPr>
          <w:rFonts w:ascii="Calibri" w:eastAsiaTheme="minorHAnsi" w:hAnsi="Calibri" w:cs="Times New Roman"/>
          <w:color w:val="auto"/>
          <w:sz w:val="22"/>
          <w:lang w:eastAsia="en-US"/>
        </w:rPr>
        <w:t xml:space="preserve"> </w:t>
      </w:r>
      <w:r w:rsidRPr="00185536">
        <w:rPr>
          <w:rFonts w:ascii="Calibri" w:eastAsiaTheme="minorHAnsi" w:hAnsi="Calibri" w:cs="Arial Narrow"/>
          <w:color w:val="auto"/>
          <w:sz w:val="22"/>
          <w:lang w:eastAsia="en-US"/>
        </w:rPr>
        <w:t xml:space="preserve">Ministero </w:t>
      </w:r>
      <w:r w:rsidRPr="00185536">
        <w:rPr>
          <w:rFonts w:ascii="Calibri" w:eastAsiaTheme="minorHAnsi" w:hAnsi="Calibri" w:cstheme="minorBidi"/>
          <w:color w:val="auto"/>
          <w:sz w:val="22"/>
          <w:lang w:eastAsia="en-US"/>
        </w:rPr>
        <w:t xml:space="preserve">della </w:t>
      </w:r>
      <w:r w:rsidRPr="00185536">
        <w:rPr>
          <w:rFonts w:ascii="Calibri" w:eastAsiaTheme="minorHAnsi" w:hAnsi="Calibri" w:cs="Times New Roman"/>
          <w:color w:val="auto"/>
          <w:sz w:val="22"/>
          <w:lang w:eastAsia="en-US"/>
        </w:rPr>
        <w:t xml:space="preserve">Salute </w:t>
      </w:r>
      <w:r w:rsidRPr="00185536">
        <w:rPr>
          <w:rFonts w:ascii="Calibri" w:eastAsiaTheme="minorHAnsi" w:hAnsi="Calibri" w:cstheme="minorBidi"/>
          <w:color w:val="auto"/>
          <w:sz w:val="22"/>
          <w:lang w:eastAsia="en-US"/>
        </w:rPr>
        <w:t xml:space="preserve">- </w:t>
      </w:r>
      <w:r w:rsidRPr="00185536">
        <w:rPr>
          <w:rFonts w:ascii="Calibri" w:eastAsiaTheme="minorHAnsi" w:hAnsi="Calibri" w:cs="Arial Narrow"/>
          <w:color w:val="auto"/>
          <w:sz w:val="22"/>
          <w:lang w:eastAsia="en-US"/>
        </w:rPr>
        <w:t xml:space="preserve">Ufficio </w:t>
      </w:r>
      <w:r w:rsidRPr="00185536">
        <w:rPr>
          <w:rFonts w:ascii="Calibri" w:eastAsiaTheme="minorHAnsi" w:hAnsi="Calibri" w:cstheme="minorBidi"/>
          <w:color w:val="auto"/>
          <w:sz w:val="22"/>
          <w:lang w:eastAsia="en-US"/>
        </w:rPr>
        <w:t xml:space="preserve">III della </w:t>
      </w:r>
      <w:r w:rsidRPr="00185536">
        <w:rPr>
          <w:rFonts w:ascii="Calibri" w:eastAsiaTheme="minorHAnsi" w:hAnsi="Calibri" w:cs="Times New Roman"/>
          <w:color w:val="auto"/>
          <w:sz w:val="22"/>
          <w:lang w:eastAsia="en-US"/>
        </w:rPr>
        <w:t xml:space="preserve">Direzione </w:t>
      </w:r>
      <w:r w:rsidRPr="00185536">
        <w:rPr>
          <w:rFonts w:ascii="Calibri" w:eastAsiaTheme="minorHAnsi" w:hAnsi="Calibri" w:cstheme="minorBidi"/>
          <w:color w:val="auto"/>
          <w:sz w:val="22"/>
          <w:lang w:eastAsia="en-US"/>
        </w:rPr>
        <w:t xml:space="preserve">Generale della </w:t>
      </w:r>
      <w:r w:rsidRPr="00185536">
        <w:rPr>
          <w:rFonts w:ascii="Calibri" w:eastAsiaTheme="minorHAnsi" w:hAnsi="Calibri" w:cs="Times New Roman"/>
          <w:color w:val="auto"/>
          <w:sz w:val="22"/>
          <w:lang w:eastAsia="en-US"/>
        </w:rPr>
        <w:t xml:space="preserve">Programmazione </w:t>
      </w:r>
      <w:r w:rsidRPr="00185536">
        <w:rPr>
          <w:rFonts w:ascii="Calibri" w:eastAsiaTheme="minorHAnsi" w:hAnsi="Calibri" w:cstheme="minorBidi"/>
          <w:color w:val="auto"/>
          <w:sz w:val="22"/>
          <w:lang w:eastAsia="en-US"/>
        </w:rPr>
        <w:t xml:space="preserve">Sanitaria, dei livelli di assistenza e dei principi </w:t>
      </w:r>
      <w:r w:rsidRPr="00185536">
        <w:rPr>
          <w:rFonts w:ascii="Calibri" w:eastAsiaTheme="minorHAnsi" w:hAnsi="Calibri" w:cs="Times New Roman"/>
          <w:color w:val="auto"/>
          <w:sz w:val="22"/>
          <w:lang w:eastAsia="en-US"/>
        </w:rPr>
        <w:t xml:space="preserve">etici </w:t>
      </w:r>
      <w:r w:rsidRPr="00185536">
        <w:rPr>
          <w:rFonts w:ascii="Calibri" w:eastAsiaTheme="minorHAnsi" w:hAnsi="Calibri" w:cstheme="minorBidi"/>
          <w:color w:val="auto"/>
          <w:sz w:val="22"/>
          <w:lang w:eastAsia="en-US"/>
        </w:rPr>
        <w:t xml:space="preserve">di sistema, con il supporto tecnico del Gruppo di Lavoro nazionale "Valutazione degli approcci metodologici in tema di rischio clinico" e delle Società Scientifiche SIP, SIMEU, </w:t>
      </w:r>
      <w:r w:rsidRPr="00185536">
        <w:rPr>
          <w:rFonts w:ascii="Calibri" w:eastAsiaTheme="minorHAnsi" w:hAnsi="Calibri" w:cs="Times New Roman"/>
          <w:color w:val="auto"/>
          <w:sz w:val="22"/>
          <w:lang w:eastAsia="en-US"/>
        </w:rPr>
        <w:t xml:space="preserve">SIFO, </w:t>
      </w:r>
      <w:r w:rsidRPr="00185536">
        <w:rPr>
          <w:rFonts w:ascii="Calibri" w:eastAsiaTheme="minorHAnsi" w:hAnsi="Calibri" w:cstheme="minorBidi"/>
          <w:color w:val="auto"/>
          <w:sz w:val="22"/>
          <w:lang w:eastAsia="en-US"/>
        </w:rPr>
        <w:t xml:space="preserve">SIAARTI, </w:t>
      </w:r>
      <w:r w:rsidRPr="00185536">
        <w:rPr>
          <w:rFonts w:ascii="Calibri" w:eastAsiaTheme="minorHAnsi" w:hAnsi="Calibri" w:cs="Times New Roman"/>
          <w:color w:val="auto"/>
          <w:sz w:val="22"/>
          <w:lang w:eastAsia="en-US"/>
        </w:rPr>
        <w:t xml:space="preserve">SIC, ANCO e </w:t>
      </w:r>
      <w:r w:rsidRPr="00185536">
        <w:rPr>
          <w:rFonts w:ascii="Calibri" w:eastAsiaTheme="minorHAnsi" w:hAnsi="Calibri" w:cstheme="minorBidi"/>
          <w:color w:val="auto"/>
          <w:sz w:val="22"/>
          <w:lang w:eastAsia="en-US"/>
        </w:rPr>
        <w:t>SIEUP.</w:t>
      </w:r>
    </w:p>
    <w:p w:rsidR="00185536" w:rsidRPr="00185536" w:rsidRDefault="00185536" w:rsidP="00A3147B">
      <w:pPr>
        <w:spacing w:after="160" w:line="283" w:lineRule="exact"/>
        <w:jc w:val="both"/>
        <w:rPr>
          <w:rFonts w:asciiTheme="minorHAnsi" w:eastAsiaTheme="minorHAnsi" w:hAnsiTheme="minorHAnsi" w:cs="Times New Roman"/>
          <w:color w:val="auto"/>
          <w:sz w:val="22"/>
          <w:lang w:val="en-US" w:eastAsia="en-US"/>
        </w:rPr>
      </w:pPr>
      <w:r w:rsidRPr="00185536">
        <w:rPr>
          <w:rFonts w:asciiTheme="minorHAnsi" w:eastAsiaTheme="minorHAnsi" w:hAnsiTheme="minorHAnsi" w:cs="Times New Roman"/>
          <w:color w:val="auto"/>
          <w:sz w:val="22"/>
          <w:lang w:val="en-US" w:eastAsia="en-US"/>
        </w:rPr>
        <w:t>Cohen M. Important Error Prevention Advisory. Hospital Pharmacy 1997; 32: 489-491.</w:t>
      </w:r>
    </w:p>
    <w:p w:rsidR="00185536" w:rsidRPr="00185536" w:rsidRDefault="00185536" w:rsidP="00A3147B">
      <w:pPr>
        <w:spacing w:after="160" w:line="297" w:lineRule="exact"/>
        <w:jc w:val="both"/>
        <w:rPr>
          <w:rFonts w:asciiTheme="minorHAnsi" w:eastAsiaTheme="minorHAnsi" w:hAnsiTheme="minorHAnsi" w:cs="Times New Roman"/>
          <w:color w:val="auto"/>
          <w:sz w:val="22"/>
          <w:u w:val="single"/>
          <w:lang w:val="en-US" w:eastAsia="en-US"/>
        </w:rPr>
      </w:pPr>
      <w:r w:rsidRPr="00185536">
        <w:rPr>
          <w:rFonts w:asciiTheme="minorHAnsi" w:eastAsiaTheme="minorHAnsi" w:hAnsiTheme="minorHAnsi" w:cs="Times New Roman"/>
          <w:color w:val="auto"/>
          <w:sz w:val="22"/>
          <w:lang w:val="en-US" w:eastAsia="en-US"/>
        </w:rPr>
        <w:t xml:space="preserve">National Patient Safety Agency. 2002. Patient Safety Alert. </w:t>
      </w:r>
      <w:r w:rsidRPr="00185536">
        <w:rPr>
          <w:rFonts w:asciiTheme="minorHAnsi" w:eastAsiaTheme="minorHAnsi" w:hAnsiTheme="minorHAnsi" w:cs="Times New Roman"/>
          <w:color w:val="auto"/>
          <w:sz w:val="22"/>
          <w:u w:val="single"/>
          <w:lang w:val="en-US" w:eastAsia="en-US"/>
        </w:rPr>
        <w:t>www.npsa.nhs.uk/alerts/aIlAlertsView.asp</w:t>
      </w:r>
    </w:p>
    <w:p w:rsidR="00185536" w:rsidRPr="00185536" w:rsidRDefault="00185536" w:rsidP="00A3147B">
      <w:pPr>
        <w:spacing w:after="160" w:line="302" w:lineRule="exact"/>
        <w:jc w:val="both"/>
        <w:rPr>
          <w:rFonts w:asciiTheme="minorHAnsi" w:eastAsiaTheme="minorHAnsi" w:hAnsiTheme="minorHAnsi" w:cs="Times New Roman"/>
          <w:color w:val="auto"/>
          <w:sz w:val="22"/>
          <w:lang w:val="en-US" w:eastAsia="en-US"/>
        </w:rPr>
      </w:pPr>
      <w:r w:rsidRPr="00185536">
        <w:rPr>
          <w:rFonts w:asciiTheme="minorHAnsi" w:eastAsiaTheme="minorHAnsi" w:hAnsiTheme="minorHAnsi" w:cs="Times New Roman"/>
          <w:color w:val="auto"/>
          <w:sz w:val="22"/>
          <w:lang w:val="en-US" w:eastAsia="en-US"/>
        </w:rPr>
        <w:t>JCAHO. 1998. Sentinel Event Alert. Accessed: 03/07/03 www.jcaho.org U D, Hyland S. Medication safety 2002, CJHP 55 (4) 278-280.</w:t>
      </w:r>
    </w:p>
    <w:p w:rsidR="00185536" w:rsidRPr="00185536" w:rsidRDefault="00185536" w:rsidP="00A3147B">
      <w:pPr>
        <w:spacing w:after="160" w:line="259" w:lineRule="auto"/>
        <w:jc w:val="both"/>
        <w:rPr>
          <w:rFonts w:asciiTheme="minorHAnsi" w:eastAsiaTheme="minorHAnsi" w:hAnsiTheme="minorHAnsi" w:cstheme="minorBidi"/>
          <w:b/>
          <w:color w:val="auto"/>
          <w:sz w:val="22"/>
          <w:lang w:val="en-US"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w:t>
      </w:r>
      <w:r w:rsidR="0070719C">
        <w:rPr>
          <w:rFonts w:asciiTheme="minorHAnsi" w:eastAsiaTheme="minorHAnsi" w:hAnsiTheme="minorHAnsi" w:cstheme="minorBidi"/>
          <w:b/>
          <w:color w:val="auto"/>
          <w:sz w:val="22"/>
          <w:lang w:eastAsia="en-US"/>
        </w:rPr>
        <w:t>. MODALITA’ OPERATIVE</w:t>
      </w: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w:t>
      </w:r>
      <w:r w:rsidR="0070719C">
        <w:rPr>
          <w:rFonts w:asciiTheme="minorHAnsi" w:eastAsiaTheme="minorHAnsi" w:hAnsiTheme="minorHAnsi" w:cstheme="minorBidi"/>
          <w:b/>
          <w:color w:val="auto"/>
          <w:sz w:val="22"/>
          <w:lang w:eastAsia="en-US"/>
        </w:rPr>
        <w:t xml:space="preserve">.1 </w:t>
      </w:r>
      <w:r w:rsidRPr="00185536">
        <w:rPr>
          <w:rFonts w:asciiTheme="minorHAnsi" w:eastAsiaTheme="minorHAnsi" w:hAnsiTheme="minorHAnsi" w:cstheme="minorBidi"/>
          <w:b/>
          <w:color w:val="auto"/>
          <w:sz w:val="22"/>
          <w:lang w:eastAsia="en-US"/>
        </w:rPr>
        <w:t>Aree critiche di assistenza</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Le a</w:t>
      </w:r>
      <w:r w:rsidR="000312AE">
        <w:rPr>
          <w:rFonts w:asciiTheme="minorHAnsi" w:eastAsiaTheme="minorHAnsi" w:hAnsiTheme="minorHAnsi" w:cstheme="minorBidi"/>
          <w:color w:val="auto"/>
          <w:sz w:val="22"/>
          <w:lang w:eastAsia="en-US"/>
        </w:rPr>
        <w:t>ree critiche di assistenza sono:</w:t>
      </w:r>
    </w:p>
    <w:p w:rsidR="000312AE" w:rsidRPr="000312AE" w:rsidRDefault="000312AE" w:rsidP="000312AE">
      <w:pPr>
        <w:spacing w:after="160" w:line="259" w:lineRule="auto"/>
        <w:jc w:val="both"/>
        <w:rPr>
          <w:rFonts w:asciiTheme="minorHAnsi" w:eastAsiaTheme="minorHAnsi" w:hAnsiTheme="minorHAnsi" w:cstheme="minorBidi"/>
          <w:color w:val="auto"/>
          <w:sz w:val="22"/>
          <w:lang w:eastAsia="en-US"/>
        </w:rPr>
      </w:pPr>
      <w:r w:rsidRPr="000312AE">
        <w:rPr>
          <w:rFonts w:asciiTheme="minorHAnsi" w:eastAsiaTheme="minorHAnsi" w:hAnsiTheme="minorHAnsi" w:cstheme="minorBidi"/>
          <w:color w:val="auto"/>
          <w:sz w:val="22"/>
          <w:lang w:eastAsia="en-US"/>
        </w:rPr>
        <w:t xml:space="preserve">la Terapia Intensiva, la Rianimazione, l’Unità Coronarica, la Nefrologia, la Cardiochirurgia, la Terapia Intensiva Neonatale, la Sala Operatoria, il Pronto Soccorso e i Dipartimenti di Emergenza (come indicato dalla Raccomandazione ministeriale). </w:t>
      </w:r>
    </w:p>
    <w:p w:rsidR="000312AE" w:rsidRDefault="000312AE" w:rsidP="000312AE">
      <w:pPr>
        <w:spacing w:after="160" w:line="259" w:lineRule="auto"/>
        <w:jc w:val="both"/>
        <w:rPr>
          <w:rFonts w:asciiTheme="minorHAnsi" w:eastAsiaTheme="minorHAnsi" w:hAnsiTheme="minorHAnsi" w:cstheme="minorBidi"/>
          <w:color w:val="auto"/>
          <w:sz w:val="22"/>
          <w:lang w:eastAsia="en-US"/>
        </w:rPr>
      </w:pPr>
      <w:r w:rsidRPr="000312AE">
        <w:rPr>
          <w:rFonts w:asciiTheme="minorHAnsi" w:eastAsiaTheme="minorHAnsi" w:hAnsiTheme="minorHAnsi" w:cstheme="minorBidi"/>
          <w:color w:val="auto"/>
          <w:sz w:val="22"/>
          <w:lang w:eastAsia="en-US"/>
        </w:rPr>
        <w:lastRenderedPageBreak/>
        <w:t>Sono altresì inserite la Medicina generale, le Chirurgie generali e specialistiche, l'Emodinamica, il Gruppo Operatorio, la Chirurgia Toracica (Delibera n.1318 del 10.11.2005 – Asl Teramo).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In esse è consentita la conservazione delle soluzioni concentrate contenenti K.</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w:t>
      </w:r>
      <w:r w:rsidR="0070719C">
        <w:rPr>
          <w:rFonts w:asciiTheme="minorHAnsi" w:eastAsiaTheme="minorHAnsi" w:hAnsiTheme="minorHAnsi" w:cstheme="minorBidi"/>
          <w:b/>
          <w:color w:val="auto"/>
          <w:sz w:val="22"/>
          <w:lang w:eastAsia="en-US"/>
        </w:rPr>
        <w:t xml:space="preserve">.2 </w:t>
      </w:r>
      <w:r w:rsidRPr="00185536">
        <w:rPr>
          <w:rFonts w:asciiTheme="minorHAnsi" w:eastAsiaTheme="minorHAnsi" w:hAnsiTheme="minorHAnsi" w:cstheme="minorBidi"/>
          <w:b/>
          <w:color w:val="auto"/>
          <w:sz w:val="22"/>
          <w:lang w:eastAsia="en-US"/>
        </w:rPr>
        <w:t>Conservazione delle soluzioni concentrate di KCI ed altre soluzioni ad elevato contenuto di K</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A.</w:t>
      </w:r>
      <w:r w:rsidRPr="00185536">
        <w:rPr>
          <w:rFonts w:asciiTheme="minorHAnsi" w:eastAsiaTheme="minorHAnsi" w:hAnsiTheme="minorHAnsi" w:cstheme="minorBidi"/>
          <w:color w:val="auto"/>
          <w:sz w:val="22"/>
          <w:lang w:eastAsia="en-US"/>
        </w:rPr>
        <w:t xml:space="preserve"> Le soluzioni concentrate di KCI e le altre soluzioni ad ele</w:t>
      </w:r>
      <w:r w:rsidR="0070719C">
        <w:rPr>
          <w:rFonts w:asciiTheme="minorHAnsi" w:eastAsiaTheme="minorHAnsi" w:hAnsiTheme="minorHAnsi" w:cstheme="minorBidi"/>
          <w:color w:val="auto"/>
          <w:sz w:val="22"/>
          <w:lang w:eastAsia="en-US"/>
        </w:rPr>
        <w:t>vato contenuto di K per uso e.v.</w:t>
      </w:r>
      <w:r w:rsidRPr="00185536">
        <w:rPr>
          <w:rFonts w:asciiTheme="minorHAnsi" w:eastAsiaTheme="minorHAnsi" w:hAnsiTheme="minorHAnsi" w:cstheme="minorBidi"/>
          <w:color w:val="auto"/>
          <w:sz w:val="22"/>
          <w:lang w:eastAsia="en-US"/>
        </w:rPr>
        <w:t xml:space="preserve"> devono essere rimosse, laddove presenti, da tutte le scorte di farmaci ad uso corrente esistenti nei vari reparti.</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B.</w:t>
      </w:r>
      <w:r w:rsidRPr="00185536">
        <w:rPr>
          <w:rFonts w:asciiTheme="minorHAnsi" w:eastAsiaTheme="minorHAnsi" w:hAnsiTheme="minorHAnsi" w:cstheme="minorBidi"/>
          <w:color w:val="auto"/>
          <w:sz w:val="22"/>
          <w:lang w:eastAsia="en-US"/>
        </w:rPr>
        <w:t xml:space="preserve"> La conservazione delle soluzioni concentrate di KCI e delle altre soluzioni ad elevato contenuto di K per uso e.v. deve essere limitata esclusivamente alla farmacia, alle aree critiche ed alle altre divisioni individuate al punto 4.1.</w:t>
      </w:r>
    </w:p>
    <w:p w:rsidR="002F352E" w:rsidRPr="002F352E" w:rsidRDefault="00185536" w:rsidP="002F352E">
      <w:pPr>
        <w:jc w:val="both"/>
        <w:rPr>
          <w:rFonts w:ascii="Calibri" w:hAnsi="Calibri"/>
          <w:b/>
          <w:sz w:val="22"/>
        </w:rPr>
      </w:pPr>
      <w:r w:rsidRPr="00185536">
        <w:rPr>
          <w:rFonts w:asciiTheme="minorHAnsi" w:eastAsiaTheme="minorHAnsi" w:hAnsiTheme="minorHAnsi" w:cstheme="minorBidi"/>
          <w:b/>
          <w:color w:val="auto"/>
          <w:sz w:val="22"/>
          <w:lang w:eastAsia="en-US"/>
        </w:rPr>
        <w:t>C.</w:t>
      </w:r>
      <w:r w:rsidRPr="00185536">
        <w:rPr>
          <w:rFonts w:asciiTheme="minorHAnsi" w:eastAsiaTheme="minorHAnsi" w:hAnsiTheme="minorHAnsi" w:cstheme="minorBidi"/>
          <w:color w:val="auto"/>
          <w:sz w:val="22"/>
          <w:lang w:eastAsia="en-US"/>
        </w:rPr>
        <w:t xml:space="preserve"> Nella farmacia e nelle unità operative in cui è prevista la conservazione, le soluzioni concentrate contenenti KCI e le altre soluzioni ad elevato contenuto di K per uso e.v. devono essere conservate separate da altri farmaci, in armadi ove possibile chiusi</w:t>
      </w:r>
      <w:r w:rsidR="002F352E">
        <w:rPr>
          <w:rFonts w:asciiTheme="minorHAnsi" w:eastAsiaTheme="minorHAnsi" w:hAnsiTheme="minorHAnsi" w:cstheme="minorBidi"/>
          <w:color w:val="auto"/>
          <w:sz w:val="22"/>
          <w:lang w:eastAsia="en-US"/>
        </w:rPr>
        <w:t xml:space="preserve"> e in contenitori che rechino le segnalazioni</w:t>
      </w:r>
      <w:r w:rsidRPr="00185536">
        <w:rPr>
          <w:rFonts w:asciiTheme="minorHAnsi" w:eastAsiaTheme="minorHAnsi" w:hAnsiTheme="minorHAnsi" w:cstheme="minorBidi"/>
          <w:color w:val="auto"/>
          <w:sz w:val="22"/>
          <w:lang w:eastAsia="en-US"/>
        </w:rPr>
        <w:t xml:space="preserve"> di allarme </w:t>
      </w:r>
      <w:r w:rsidRPr="00185536">
        <w:rPr>
          <w:rFonts w:asciiTheme="minorHAnsi" w:eastAsiaTheme="minorHAnsi" w:hAnsiTheme="minorHAnsi" w:cstheme="minorBidi"/>
          <w:b/>
          <w:color w:val="auto"/>
          <w:sz w:val="22"/>
          <w:lang w:eastAsia="en-US"/>
        </w:rPr>
        <w:t>"Diluire prima della somministrazione: mortale se infuso non diluito”</w:t>
      </w:r>
      <w:r w:rsidR="002F352E">
        <w:rPr>
          <w:rFonts w:asciiTheme="minorHAnsi" w:eastAsiaTheme="minorHAnsi" w:hAnsiTheme="minorHAnsi" w:cstheme="minorBidi"/>
          <w:b/>
          <w:color w:val="auto"/>
          <w:sz w:val="22"/>
          <w:lang w:eastAsia="en-US"/>
        </w:rPr>
        <w:t>, “</w:t>
      </w:r>
      <w:r w:rsidR="002F352E" w:rsidRPr="002F352E">
        <w:rPr>
          <w:rFonts w:ascii="Calibri" w:hAnsi="Calibri"/>
          <w:b/>
          <w:sz w:val="22"/>
        </w:rPr>
        <w:t>si raccomanda di agitare bene durante la preparazione e prima dell’uso</w:t>
      </w:r>
      <w:r w:rsidR="002F352E">
        <w:rPr>
          <w:rFonts w:ascii="Calibri" w:hAnsi="Calibri"/>
          <w:b/>
          <w:sz w:val="22"/>
        </w:rPr>
        <w:t xml:space="preserve">” </w:t>
      </w:r>
      <w:r w:rsidR="002F352E">
        <w:rPr>
          <w:rFonts w:ascii="Calibri" w:hAnsi="Calibri"/>
          <w:sz w:val="20"/>
          <w:szCs w:val="20"/>
        </w:rPr>
        <w:t>(</w:t>
      </w:r>
      <w:r w:rsidR="002F352E" w:rsidRPr="00B8409E">
        <w:rPr>
          <w:rFonts w:ascii="Calibri" w:hAnsi="Calibri"/>
          <w:sz w:val="20"/>
          <w:szCs w:val="20"/>
        </w:rPr>
        <w:t>Comunicazione AIFA 21.06.2010</w:t>
      </w:r>
      <w:r w:rsidR="002F352E">
        <w:rPr>
          <w:rFonts w:ascii="Calibri" w:hAnsi="Calibri"/>
          <w:sz w:val="20"/>
          <w:szCs w:val="20"/>
        </w:rPr>
        <w:t>)</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D.</w:t>
      </w:r>
      <w:r w:rsidRPr="00185536">
        <w:rPr>
          <w:rFonts w:asciiTheme="minorHAnsi" w:eastAsiaTheme="minorHAnsi" w:hAnsiTheme="minorHAnsi" w:cstheme="minorBidi"/>
          <w:color w:val="auto"/>
          <w:sz w:val="22"/>
          <w:lang w:eastAsia="en-US"/>
        </w:rPr>
        <w:t xml:space="preserve"> Le soluzioni concentrate contenenti KCI e le altre soluzioni ad elevato contenuto di K per uso e.v. non devono di norma essere trasferite tra le diverse unità operative. Ove necessario, la richiesta motivata personalizzata deve essere redatta in triplice copia di cui una diretta alla U.O. che presta il farmaco, una copia inviata alla farmacia ospedaliera ed una rimane al reparto richiedente.</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w:t>
      </w:r>
      <w:r w:rsidR="00782197">
        <w:rPr>
          <w:rFonts w:asciiTheme="minorHAnsi" w:eastAsiaTheme="minorHAnsi" w:hAnsiTheme="minorHAnsi" w:cstheme="minorBidi"/>
          <w:b/>
          <w:color w:val="auto"/>
          <w:sz w:val="22"/>
          <w:lang w:eastAsia="en-US"/>
        </w:rPr>
        <w:t xml:space="preserve">.3 </w:t>
      </w:r>
      <w:r w:rsidRPr="00185536">
        <w:rPr>
          <w:rFonts w:asciiTheme="minorHAnsi" w:eastAsiaTheme="minorHAnsi" w:hAnsiTheme="minorHAnsi" w:cstheme="minorBidi"/>
          <w:b/>
          <w:color w:val="auto"/>
          <w:sz w:val="22"/>
          <w:lang w:eastAsia="en-US"/>
        </w:rPr>
        <w:t>Prescrizione delle soluzio</w:t>
      </w:r>
      <w:r w:rsidR="00BE04FB">
        <w:rPr>
          <w:rFonts w:asciiTheme="minorHAnsi" w:eastAsiaTheme="minorHAnsi" w:hAnsiTheme="minorHAnsi" w:cstheme="minorBidi"/>
          <w:b/>
          <w:color w:val="auto"/>
          <w:sz w:val="22"/>
          <w:lang w:eastAsia="en-US"/>
        </w:rPr>
        <w:t>ni contenenti potassio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A.</w:t>
      </w:r>
      <w:r w:rsidRPr="00185536">
        <w:rPr>
          <w:rFonts w:asciiTheme="minorHAnsi" w:eastAsiaTheme="minorHAnsi" w:hAnsiTheme="minorHAnsi" w:cstheme="minorBidi"/>
          <w:color w:val="auto"/>
          <w:sz w:val="22"/>
          <w:lang w:eastAsia="en-US"/>
        </w:rPr>
        <w:t xml:space="preserve"> Le soluzioni contenenti K per uso e.v. dovrebbero essere prescritte, quando le condizioni cliniche lo consentono, in quelle formulazioni già diluite e pronte all’uso. </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B.</w:t>
      </w:r>
      <w:r w:rsidRPr="00185536">
        <w:rPr>
          <w:rFonts w:asciiTheme="minorHAnsi" w:eastAsiaTheme="minorHAnsi" w:hAnsiTheme="minorHAnsi" w:cstheme="minorBidi"/>
          <w:color w:val="auto"/>
          <w:sz w:val="22"/>
          <w:lang w:eastAsia="en-US"/>
        </w:rPr>
        <w:t xml:space="preserve"> Deve essere assicurata la tracciabilità del farmaco. A tal fine le UU.OO. autorizzate dovranno dotarsi e gestire un registro di carico/scarico nel quale annotare le movimentazioni di potass</w:t>
      </w:r>
      <w:r w:rsidR="00782197">
        <w:rPr>
          <w:rFonts w:asciiTheme="minorHAnsi" w:eastAsiaTheme="minorHAnsi" w:hAnsiTheme="minorHAnsi" w:cstheme="minorBidi"/>
          <w:color w:val="auto"/>
          <w:sz w:val="22"/>
          <w:lang w:eastAsia="en-US"/>
        </w:rPr>
        <w:t>io indicando le generalità del p</w:t>
      </w:r>
      <w:r w:rsidRPr="00185536">
        <w:rPr>
          <w:rFonts w:asciiTheme="minorHAnsi" w:eastAsiaTheme="minorHAnsi" w:hAnsiTheme="minorHAnsi" w:cstheme="minorBidi"/>
          <w:color w:val="auto"/>
          <w:sz w:val="22"/>
          <w:lang w:eastAsia="en-US"/>
        </w:rPr>
        <w:t>aziente, la data di nascita, la dose, firma, data e ora. Tale registro sarà fornito dalle Farmacie.</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C.</w:t>
      </w:r>
      <w:r w:rsidRPr="00185536">
        <w:rPr>
          <w:rFonts w:asciiTheme="minorHAnsi" w:eastAsiaTheme="minorHAnsi" w:hAnsiTheme="minorHAnsi" w:cstheme="minorBidi"/>
          <w:color w:val="auto"/>
          <w:sz w:val="22"/>
          <w:lang w:eastAsia="en-US"/>
        </w:rPr>
        <w:t xml:space="preserve"> Nella documentazione clinica </w:t>
      </w:r>
      <w:r w:rsidR="00782197">
        <w:rPr>
          <w:rFonts w:asciiTheme="minorHAnsi" w:eastAsiaTheme="minorHAnsi" w:hAnsiTheme="minorHAnsi" w:cstheme="minorBidi"/>
          <w:color w:val="auto"/>
          <w:sz w:val="22"/>
          <w:lang w:eastAsia="en-US"/>
        </w:rPr>
        <w:t>del p</w:t>
      </w:r>
      <w:r w:rsidRPr="00185536">
        <w:rPr>
          <w:rFonts w:asciiTheme="minorHAnsi" w:eastAsiaTheme="minorHAnsi" w:hAnsiTheme="minorHAnsi" w:cstheme="minorBidi"/>
          <w:color w:val="auto"/>
          <w:sz w:val="22"/>
          <w:lang w:eastAsia="en-US"/>
        </w:rPr>
        <w:t>aziente dovrà essere tracciata da parte del medico dose, frequenza e velocità di infusione, firma, data e ora.</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4.4 Approvvigionamento delle soluzioni di potassio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A.</w:t>
      </w:r>
      <w:r w:rsidRPr="00185536">
        <w:rPr>
          <w:rFonts w:asciiTheme="minorHAnsi" w:eastAsiaTheme="minorHAnsi" w:hAnsiTheme="minorHAnsi" w:cstheme="minorBidi"/>
          <w:color w:val="auto"/>
          <w:sz w:val="22"/>
          <w:lang w:eastAsia="en-US"/>
        </w:rPr>
        <w:t xml:space="preserve"> Le UU.OO. autorizzate si approvvigionano delle fiale di KCL direttamente dalla Farmacia tramite richiesta personalizzata, utilizzando il </w:t>
      </w:r>
      <w:r w:rsidRPr="00185536">
        <w:rPr>
          <w:rFonts w:asciiTheme="minorHAnsi" w:eastAsiaTheme="minorHAnsi" w:hAnsiTheme="minorHAnsi" w:cstheme="minorBidi"/>
          <w:i/>
          <w:color w:val="auto"/>
          <w:sz w:val="22"/>
          <w:lang w:eastAsia="en-US"/>
        </w:rPr>
        <w:t>“Modulo di richiesta motivata per le soluzioni concentrate di cloruro di potassio-KCl- ed altre soluzioni concentrate contenenti potassio”</w:t>
      </w:r>
      <w:r w:rsidR="00A27A47">
        <w:rPr>
          <w:rFonts w:asciiTheme="minorHAnsi" w:eastAsiaTheme="minorHAnsi" w:hAnsiTheme="minorHAnsi" w:cstheme="minorBidi"/>
          <w:color w:val="auto"/>
          <w:sz w:val="22"/>
          <w:lang w:eastAsia="en-US"/>
        </w:rPr>
        <w:t xml:space="preserve"> Mod. IO PA17 02</w:t>
      </w:r>
      <w:r w:rsidRPr="00185536">
        <w:rPr>
          <w:rFonts w:asciiTheme="minorHAnsi" w:eastAsiaTheme="minorHAnsi" w:hAnsiTheme="minorHAnsi" w:cstheme="minorBidi"/>
          <w:color w:val="auto"/>
          <w:sz w:val="22"/>
          <w:lang w:eastAsia="en-US"/>
        </w:rPr>
        <w:t xml:space="preserve"> 01 allegato alla presente Istruzione Operativa e caricando le fiale nell'apposito registro di carico/scarico.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lastRenderedPageBreak/>
        <w:t>B.</w:t>
      </w:r>
      <w:r w:rsidRPr="00185536">
        <w:rPr>
          <w:rFonts w:asciiTheme="minorHAnsi" w:eastAsiaTheme="minorHAnsi" w:hAnsiTheme="minorHAnsi" w:cstheme="minorBidi"/>
          <w:color w:val="auto"/>
          <w:sz w:val="22"/>
          <w:lang w:eastAsia="en-US"/>
        </w:rPr>
        <w:t xml:space="preserve"> Le UU.OO. non autorizzate invieranno, in caso di necessità, richiesta personalizzata alla Farmacia Ospedaliera, utilizzando il </w:t>
      </w:r>
      <w:r w:rsidR="00A27A47">
        <w:rPr>
          <w:rFonts w:asciiTheme="minorHAnsi" w:eastAsiaTheme="minorHAnsi" w:hAnsiTheme="minorHAnsi" w:cstheme="minorBidi"/>
          <w:color w:val="auto"/>
          <w:sz w:val="22"/>
          <w:lang w:eastAsia="en-US"/>
        </w:rPr>
        <w:t>Mod. IO PA17 02</w:t>
      </w:r>
      <w:r w:rsidR="00946C7B">
        <w:rPr>
          <w:rFonts w:asciiTheme="minorHAnsi" w:eastAsiaTheme="minorHAnsi" w:hAnsiTheme="minorHAnsi" w:cstheme="minorBidi"/>
          <w:color w:val="auto"/>
          <w:sz w:val="22"/>
          <w:lang w:eastAsia="en-US"/>
        </w:rPr>
        <w:t xml:space="preserve"> 01 </w:t>
      </w:r>
      <w:r w:rsidRPr="00185536">
        <w:rPr>
          <w:rFonts w:asciiTheme="minorHAnsi" w:eastAsiaTheme="minorHAnsi" w:hAnsiTheme="minorHAnsi" w:cstheme="minorBidi"/>
          <w:color w:val="auto"/>
          <w:sz w:val="22"/>
          <w:lang w:eastAsia="en-US"/>
        </w:rPr>
        <w:t xml:space="preserve">  indicando nome, cognome, data di nascita del paziente, dose richiesta, data, firma, ora.</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w:t>
      </w:r>
      <w:r w:rsidR="00782197">
        <w:rPr>
          <w:rFonts w:asciiTheme="minorHAnsi" w:eastAsiaTheme="minorHAnsi" w:hAnsiTheme="minorHAnsi" w:cstheme="minorBidi"/>
          <w:b/>
          <w:color w:val="auto"/>
          <w:sz w:val="22"/>
          <w:lang w:eastAsia="en-US"/>
        </w:rPr>
        <w:t xml:space="preserve">.5 </w:t>
      </w:r>
      <w:r w:rsidRPr="00185536">
        <w:rPr>
          <w:rFonts w:asciiTheme="minorHAnsi" w:eastAsiaTheme="minorHAnsi" w:hAnsiTheme="minorHAnsi" w:cstheme="minorBidi"/>
          <w:b/>
          <w:color w:val="auto"/>
          <w:sz w:val="22"/>
          <w:lang w:eastAsia="en-US"/>
        </w:rPr>
        <w:t>Preparazione dell</w:t>
      </w:r>
      <w:r w:rsidR="00BE04FB">
        <w:rPr>
          <w:rFonts w:asciiTheme="minorHAnsi" w:eastAsiaTheme="minorHAnsi" w:hAnsiTheme="minorHAnsi" w:cstheme="minorBidi"/>
          <w:b/>
          <w:color w:val="auto"/>
          <w:sz w:val="22"/>
          <w:lang w:eastAsia="en-US"/>
        </w:rPr>
        <w:t>e soluzioni diluite contenenti p</w:t>
      </w:r>
      <w:r w:rsidRPr="00185536">
        <w:rPr>
          <w:rFonts w:asciiTheme="minorHAnsi" w:eastAsiaTheme="minorHAnsi" w:hAnsiTheme="minorHAnsi" w:cstheme="minorBidi"/>
          <w:b/>
          <w:color w:val="auto"/>
          <w:sz w:val="22"/>
          <w:lang w:eastAsia="en-US"/>
        </w:rPr>
        <w:t>otassio</w:t>
      </w:r>
    </w:p>
    <w:p w:rsid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Laddove le condizioni cliniche del paziente richiedano l'utilizzo di soluzioni con diluizione commercialmente non disponibile, nelle more dell'allestimento dei laboratori galenici di farmacia, le soluzioni continueranno ad essere preparate nelle medicherie delle Unità Operative dal Personale Infermieristico attenendosi alla presente Istruzione Operativa di cui al punto Successivo.</w:t>
      </w:r>
    </w:p>
    <w:p w:rsidR="00782197" w:rsidRPr="00185536" w:rsidRDefault="00782197"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w:t>
      </w:r>
      <w:r w:rsidR="00782197">
        <w:rPr>
          <w:rFonts w:asciiTheme="minorHAnsi" w:eastAsiaTheme="minorHAnsi" w:hAnsiTheme="minorHAnsi" w:cstheme="minorBidi"/>
          <w:b/>
          <w:color w:val="auto"/>
          <w:sz w:val="22"/>
          <w:lang w:eastAsia="en-US"/>
        </w:rPr>
        <w:t xml:space="preserve">.6 </w:t>
      </w:r>
      <w:r w:rsidRPr="00185536">
        <w:rPr>
          <w:rFonts w:asciiTheme="minorHAnsi" w:eastAsiaTheme="minorHAnsi" w:hAnsiTheme="minorHAnsi" w:cstheme="minorBidi"/>
          <w:b/>
          <w:color w:val="auto"/>
          <w:sz w:val="22"/>
          <w:lang w:eastAsia="en-US"/>
        </w:rPr>
        <w:t>Preparazione e somministrazione delle soluzioni contenen</w:t>
      </w:r>
      <w:r w:rsidR="00BE04FB">
        <w:rPr>
          <w:rFonts w:asciiTheme="minorHAnsi" w:eastAsiaTheme="minorHAnsi" w:hAnsiTheme="minorHAnsi" w:cstheme="minorBidi"/>
          <w:b/>
          <w:color w:val="auto"/>
          <w:sz w:val="22"/>
          <w:lang w:eastAsia="en-US"/>
        </w:rPr>
        <w:t>ti potassio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A.</w:t>
      </w:r>
      <w:r w:rsidRPr="00185536">
        <w:rPr>
          <w:rFonts w:asciiTheme="minorHAnsi" w:eastAsiaTheme="minorHAnsi" w:hAnsiTheme="minorHAnsi" w:cstheme="minorBidi"/>
          <w:color w:val="auto"/>
          <w:sz w:val="22"/>
          <w:lang w:eastAsia="en-US"/>
        </w:rPr>
        <w:t xml:space="preserve"> L'infermiere preparatore dovrà preparare la soluzione secondo le modalità indicate in scheda tecnica del farmaco.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B.</w:t>
      </w:r>
      <w:r w:rsidRPr="00185536">
        <w:rPr>
          <w:rFonts w:asciiTheme="minorHAnsi" w:eastAsiaTheme="minorHAnsi" w:hAnsiTheme="minorHAnsi" w:cstheme="minorBidi"/>
          <w:color w:val="auto"/>
          <w:sz w:val="22"/>
          <w:lang w:eastAsia="en-US"/>
        </w:rPr>
        <w:t xml:space="preserve"> Un secondo operatore sanitario dovrà sempre controllare, durante la fase di preparazione, la corretta identificazione del prodotto, la dose, la via di somministrazione, la correttezza del calcolo della diluizione rispetto alla prescrizione data, la miscelazione, la corretta etichettatura del prodotto preparato.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C.</w:t>
      </w:r>
      <w:r w:rsidRPr="00185536">
        <w:rPr>
          <w:rFonts w:asciiTheme="minorHAnsi" w:eastAsiaTheme="minorHAnsi" w:hAnsiTheme="minorHAnsi" w:cstheme="minorBidi"/>
          <w:color w:val="auto"/>
          <w:sz w:val="22"/>
          <w:lang w:eastAsia="en-US"/>
        </w:rPr>
        <w:t xml:space="preserve"> La velocità di infusione dovrà rispettare le indicazioni riportate in scheda t</w:t>
      </w:r>
      <w:r w:rsidR="00946C7B">
        <w:rPr>
          <w:rFonts w:asciiTheme="minorHAnsi" w:eastAsiaTheme="minorHAnsi" w:hAnsiTheme="minorHAnsi" w:cstheme="minorBidi"/>
          <w:color w:val="auto"/>
          <w:sz w:val="22"/>
          <w:lang w:eastAsia="en-US"/>
        </w:rPr>
        <w:t>ecnica e prescritte dal M</w:t>
      </w:r>
      <w:r w:rsidRPr="00185536">
        <w:rPr>
          <w:rFonts w:asciiTheme="minorHAnsi" w:eastAsiaTheme="minorHAnsi" w:hAnsiTheme="minorHAnsi" w:cstheme="minorBidi"/>
          <w:color w:val="auto"/>
          <w:sz w:val="22"/>
          <w:lang w:eastAsia="en-US"/>
        </w:rPr>
        <w:t>edico</w:t>
      </w:r>
      <w:r w:rsidR="00946C7B">
        <w:rPr>
          <w:rFonts w:asciiTheme="minorHAnsi" w:eastAsiaTheme="minorHAnsi" w:hAnsiTheme="minorHAnsi" w:cstheme="minorBidi"/>
          <w:color w:val="auto"/>
          <w:sz w:val="22"/>
          <w:lang w:eastAsia="en-US"/>
        </w:rPr>
        <w:t>.</w:t>
      </w:r>
      <w:r w:rsidRPr="00185536">
        <w:rPr>
          <w:rFonts w:asciiTheme="minorHAnsi" w:eastAsiaTheme="minorHAnsi" w:hAnsiTheme="minorHAnsi" w:cstheme="minorBidi"/>
          <w:color w:val="auto"/>
          <w:sz w:val="22"/>
          <w:lang w:eastAsia="en-US"/>
        </w:rPr>
        <w:t xml:space="preserve"> </w:t>
      </w:r>
      <w:r w:rsidR="00946C7B">
        <w:rPr>
          <w:rFonts w:asciiTheme="minorHAnsi" w:eastAsiaTheme="minorHAnsi" w:hAnsiTheme="minorHAnsi" w:cstheme="minorBidi"/>
          <w:color w:val="auto"/>
          <w:sz w:val="22"/>
          <w:lang w:eastAsia="en-US"/>
        </w:rPr>
        <w:t xml:space="preserve"> </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b/>
          <w:color w:val="auto"/>
          <w:sz w:val="22"/>
          <w:lang w:eastAsia="en-US"/>
        </w:rPr>
        <w:t>D.</w:t>
      </w:r>
      <w:r w:rsidRPr="00185536">
        <w:rPr>
          <w:rFonts w:asciiTheme="minorHAnsi" w:eastAsiaTheme="minorHAnsi" w:hAnsiTheme="minorHAnsi" w:cstheme="minorBidi"/>
          <w:color w:val="auto"/>
          <w:sz w:val="22"/>
          <w:lang w:eastAsia="en-US"/>
        </w:rPr>
        <w:t xml:space="preserve"> In fase di somministrazione, il secondo operatore dovrà verificare l’identità del paziente e la corretta velocità di infusione. L’avvenuta somministrazione dovrà</w:t>
      </w:r>
      <w:r w:rsidR="006C4DE9">
        <w:rPr>
          <w:rFonts w:asciiTheme="minorHAnsi" w:eastAsiaTheme="minorHAnsi" w:hAnsiTheme="minorHAnsi" w:cstheme="minorBidi"/>
          <w:color w:val="auto"/>
          <w:sz w:val="22"/>
          <w:lang w:eastAsia="en-US"/>
        </w:rPr>
        <w:t xml:space="preserve"> essere subito registrata </w:t>
      </w:r>
      <w:r w:rsidR="006C4DE9" w:rsidRPr="006C4DE9">
        <w:rPr>
          <w:rFonts w:asciiTheme="minorHAnsi" w:eastAsiaTheme="minorHAnsi" w:hAnsiTheme="minorHAnsi" w:cstheme="minorBidi"/>
          <w:color w:val="auto"/>
          <w:sz w:val="22"/>
          <w:lang w:eastAsia="en-US"/>
        </w:rPr>
        <w:t>nella</w:t>
      </w:r>
      <w:r w:rsidR="00782197" w:rsidRPr="006C4DE9">
        <w:rPr>
          <w:rFonts w:asciiTheme="minorHAnsi" w:eastAsiaTheme="minorHAnsi" w:hAnsiTheme="minorHAnsi" w:cstheme="minorBidi"/>
          <w:color w:val="auto"/>
          <w:sz w:val="22"/>
          <w:lang w:eastAsia="en-US"/>
        </w:rPr>
        <w:t xml:space="preserve"> </w:t>
      </w:r>
      <w:r w:rsidRPr="006C4DE9">
        <w:rPr>
          <w:rFonts w:asciiTheme="minorHAnsi" w:eastAsiaTheme="minorHAnsi" w:hAnsiTheme="minorHAnsi" w:cstheme="minorBidi"/>
          <w:color w:val="auto"/>
          <w:sz w:val="22"/>
          <w:lang w:eastAsia="en-US"/>
        </w:rPr>
        <w:t>Scheda Unica di Terapia</w:t>
      </w:r>
      <w:r w:rsidRPr="00185536">
        <w:rPr>
          <w:rFonts w:asciiTheme="minorHAnsi" w:eastAsiaTheme="minorHAnsi" w:hAnsiTheme="minorHAnsi" w:cstheme="minorBidi"/>
          <w:color w:val="auto"/>
          <w:sz w:val="22"/>
          <w:lang w:eastAsia="en-US"/>
        </w:rPr>
        <w:t>, riportando dose, via di somministrazione, velocità di infusione, data, ora e firma degli operatori.</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r w:rsidRPr="00185536">
        <w:rPr>
          <w:rFonts w:asciiTheme="minorHAnsi" w:eastAsiaTheme="minorHAnsi" w:hAnsiTheme="minorHAnsi" w:cstheme="minorBidi"/>
          <w:b/>
          <w:color w:val="auto"/>
          <w:sz w:val="22"/>
          <w:lang w:eastAsia="en-US"/>
        </w:rPr>
        <w:t>4.7 Gestione del Processo di corretto utilizzo delle soluzioni di KCL</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Alla Farmacia Ospedaliera è demandata la funzione di:</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 Monitoraggio delle richieste e dei consumi al fine di valutarne l'appropriatezza d'uso.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 Consulenza su tutti gli aspetti tecnico/organizzativi prescritti nella presente procedura.</w:t>
      </w:r>
    </w:p>
    <w:p w:rsidR="00185536" w:rsidRPr="00185536" w:rsidRDefault="00185536" w:rsidP="00A3147B">
      <w:pPr>
        <w:spacing w:after="160" w:line="259" w:lineRule="auto"/>
        <w:jc w:val="both"/>
        <w:rPr>
          <w:rFonts w:asciiTheme="minorHAnsi" w:eastAsiaTheme="minorHAnsi" w:hAnsiTheme="minorHAnsi" w:cstheme="minorBidi"/>
          <w:b/>
          <w:color w:val="auto"/>
          <w:sz w:val="22"/>
          <w:lang w:eastAsia="en-US"/>
        </w:rPr>
      </w:pPr>
    </w:p>
    <w:p w:rsidR="00185536" w:rsidRPr="00185536" w:rsidRDefault="00BE04FB" w:rsidP="00A3147B">
      <w:pPr>
        <w:spacing w:after="160" w:line="259" w:lineRule="auto"/>
        <w:jc w:val="both"/>
        <w:rPr>
          <w:rFonts w:asciiTheme="minorHAnsi" w:eastAsiaTheme="minorHAnsi" w:hAnsiTheme="minorHAnsi" w:cstheme="minorBidi"/>
          <w:b/>
          <w:color w:val="auto"/>
          <w:sz w:val="22"/>
          <w:lang w:eastAsia="en-US"/>
        </w:rPr>
      </w:pPr>
      <w:r>
        <w:rPr>
          <w:rFonts w:asciiTheme="minorHAnsi" w:eastAsiaTheme="minorHAnsi" w:hAnsiTheme="minorHAnsi" w:cstheme="minorBidi"/>
          <w:b/>
          <w:color w:val="auto"/>
          <w:sz w:val="22"/>
          <w:lang w:eastAsia="en-US"/>
        </w:rPr>
        <w:t>5</w:t>
      </w:r>
      <w:r w:rsidR="00185536" w:rsidRPr="00185536">
        <w:rPr>
          <w:rFonts w:asciiTheme="minorHAnsi" w:eastAsiaTheme="minorHAnsi" w:hAnsiTheme="minorHAnsi" w:cstheme="minorBidi"/>
          <w:b/>
          <w:color w:val="auto"/>
          <w:sz w:val="22"/>
          <w:lang w:eastAsia="en-US"/>
        </w:rPr>
        <w:t xml:space="preserve">. Allegati </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1) Mod. IO PA17 02 01 “Modulo di richiesta motivata per le soluzioni concentrate di cloruro di potassio-KCl- ed altre soluzioni concentrate contenenti potassio”.</w:t>
      </w:r>
    </w:p>
    <w:p w:rsidR="00185536" w:rsidRPr="00185536" w:rsidRDefault="00185536" w:rsidP="00A3147B">
      <w:pPr>
        <w:spacing w:after="160" w:line="259" w:lineRule="auto"/>
        <w:jc w:val="both"/>
        <w:rPr>
          <w:rFonts w:asciiTheme="minorHAnsi" w:eastAsiaTheme="minorHAnsi" w:hAnsiTheme="minorHAnsi" w:cstheme="minorBidi"/>
          <w:color w:val="auto"/>
          <w:sz w:val="22"/>
          <w:lang w:eastAsia="en-US"/>
        </w:rPr>
      </w:pPr>
      <w:r w:rsidRPr="00185536">
        <w:rPr>
          <w:rFonts w:asciiTheme="minorHAnsi" w:eastAsiaTheme="minorHAnsi" w:hAnsiTheme="minorHAnsi" w:cstheme="minorBidi"/>
          <w:color w:val="auto"/>
          <w:sz w:val="22"/>
          <w:lang w:eastAsia="en-US"/>
        </w:rPr>
        <w:t xml:space="preserve">2) Mod. IO PA17 02 02 Registro di carico e scarico </w:t>
      </w:r>
      <w:r w:rsidR="00253598">
        <w:rPr>
          <w:rFonts w:asciiTheme="minorHAnsi" w:eastAsiaTheme="minorHAnsi" w:hAnsiTheme="minorHAnsi" w:cstheme="minorBidi"/>
          <w:color w:val="auto"/>
          <w:sz w:val="22"/>
          <w:lang w:eastAsia="en-US"/>
        </w:rPr>
        <w:t>delle soluzioni concentrate di p</w:t>
      </w:r>
      <w:r w:rsidRPr="00185536">
        <w:rPr>
          <w:rFonts w:asciiTheme="minorHAnsi" w:eastAsiaTheme="minorHAnsi" w:hAnsiTheme="minorHAnsi" w:cstheme="minorBidi"/>
          <w:color w:val="auto"/>
          <w:sz w:val="22"/>
          <w:lang w:eastAsia="en-US"/>
        </w:rPr>
        <w:t>otassio.</w:t>
      </w:r>
    </w:p>
    <w:p w:rsidR="00185536" w:rsidRDefault="00185536" w:rsidP="00A3147B">
      <w:pPr>
        <w:pStyle w:val="Titolo1"/>
        <w:ind w:left="137"/>
        <w:jc w:val="both"/>
        <w:rPr>
          <w:rFonts w:ascii="Arial" w:eastAsia="Arial" w:hAnsi="Arial" w:cs="Arial"/>
        </w:rPr>
      </w:pPr>
    </w:p>
    <w:p w:rsidR="00A22635" w:rsidRDefault="00A22635">
      <w:pPr>
        <w:spacing w:after="98" w:line="259" w:lineRule="auto"/>
        <w:ind w:left="142"/>
      </w:pPr>
    </w:p>
    <w:p w:rsidR="00A22635" w:rsidRDefault="00253598" w:rsidP="006E681C">
      <w:pPr>
        <w:spacing w:after="95" w:line="259" w:lineRule="auto"/>
        <w:ind w:right="97"/>
        <w:jc w:val="center"/>
      </w:pPr>
      <w:r>
        <w:rPr>
          <w:b/>
          <w:sz w:val="22"/>
        </w:rPr>
        <w:t xml:space="preserve"> </w:t>
      </w:r>
    </w:p>
    <w:sectPr w:rsidR="00A22635" w:rsidSect="0033037A">
      <w:headerReference w:type="even" r:id="rId8"/>
      <w:headerReference w:type="default" r:id="rId9"/>
      <w:headerReference w:type="first" r:id="rId10"/>
      <w:pgSz w:w="11900" w:h="16840"/>
      <w:pgMar w:top="2559" w:right="985" w:bottom="979" w:left="991"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4E6" w:rsidRDefault="004044E6">
      <w:r>
        <w:separator/>
      </w:r>
    </w:p>
  </w:endnote>
  <w:endnote w:type="continuationSeparator" w:id="0">
    <w:p w:rsidR="004044E6" w:rsidRDefault="0040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4E6" w:rsidRDefault="004044E6">
      <w:r>
        <w:separator/>
      </w:r>
    </w:p>
  </w:footnote>
  <w:footnote w:type="continuationSeparator" w:id="0">
    <w:p w:rsidR="004044E6" w:rsidRDefault="00404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68" w:tblpY="727"/>
      <w:tblOverlap w:val="never"/>
      <w:tblW w:w="9845" w:type="dxa"/>
      <w:tblInd w:w="0" w:type="dxa"/>
      <w:tblCellMar>
        <w:top w:w="44" w:type="dxa"/>
        <w:left w:w="65" w:type="dxa"/>
        <w:right w:w="30" w:type="dxa"/>
      </w:tblCellMar>
      <w:tblLook w:val="04A0" w:firstRow="1" w:lastRow="0" w:firstColumn="1" w:lastColumn="0" w:noHBand="0" w:noVBand="1"/>
    </w:tblPr>
    <w:tblGrid>
      <w:gridCol w:w="2190"/>
      <w:gridCol w:w="5245"/>
      <w:gridCol w:w="2410"/>
    </w:tblGrid>
    <w:tr w:rsidR="00A22635">
      <w:trPr>
        <w:trHeight w:val="1027"/>
      </w:trPr>
      <w:tc>
        <w:tcPr>
          <w:tcW w:w="2190" w:type="dxa"/>
          <w:tcBorders>
            <w:top w:val="single" w:sz="12" w:space="0" w:color="000000"/>
            <w:left w:val="single" w:sz="12" w:space="0" w:color="000000"/>
            <w:bottom w:val="single" w:sz="12" w:space="0" w:color="000000"/>
            <w:right w:val="single" w:sz="9" w:space="0" w:color="000000"/>
          </w:tcBorders>
        </w:tcPr>
        <w:p w:rsidR="00A22635" w:rsidRDefault="00253598">
          <w:pPr>
            <w:tabs>
              <w:tab w:val="center" w:pos="797"/>
            </w:tabs>
            <w:spacing w:line="259" w:lineRule="auto"/>
          </w:pPr>
          <w:r>
            <w:rPr>
              <w:sz w:val="8"/>
            </w:rPr>
            <w:t xml:space="preserve"> </w:t>
          </w:r>
          <w:r>
            <w:rPr>
              <w:sz w:val="8"/>
            </w:rPr>
            <w:tab/>
          </w:r>
          <w:r>
            <w:rPr>
              <w:noProof/>
            </w:rPr>
            <w:drawing>
              <wp:inline distT="0" distB="0" distL="0" distR="0">
                <wp:extent cx="914400" cy="573024"/>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
                        <a:stretch>
                          <a:fillRect/>
                        </a:stretch>
                      </pic:blipFill>
                      <pic:spPr>
                        <a:xfrm>
                          <a:off x="0" y="0"/>
                          <a:ext cx="914400" cy="573024"/>
                        </a:xfrm>
                        <a:prstGeom prst="rect">
                          <a:avLst/>
                        </a:prstGeom>
                      </pic:spPr>
                    </pic:pic>
                  </a:graphicData>
                </a:graphic>
              </wp:inline>
            </w:drawing>
          </w:r>
        </w:p>
      </w:tc>
      <w:tc>
        <w:tcPr>
          <w:tcW w:w="5245" w:type="dxa"/>
          <w:vMerge w:val="restart"/>
          <w:tcBorders>
            <w:top w:val="single" w:sz="12" w:space="0" w:color="000000"/>
            <w:left w:val="single" w:sz="12" w:space="0" w:color="000000"/>
            <w:bottom w:val="single" w:sz="12" w:space="0" w:color="000000"/>
            <w:right w:val="single" w:sz="4" w:space="0" w:color="000000"/>
          </w:tcBorders>
          <w:shd w:val="clear" w:color="auto" w:fill="F2F2F2"/>
        </w:tcPr>
        <w:p w:rsidR="00A22635" w:rsidRDefault="00253598">
          <w:pPr>
            <w:spacing w:after="253" w:line="259" w:lineRule="auto"/>
            <w:ind w:right="76"/>
            <w:jc w:val="center"/>
          </w:pPr>
          <w:r>
            <w:rPr>
              <w:i/>
            </w:rPr>
            <w:t xml:space="preserve">Istruzione Operativa </w:t>
          </w:r>
        </w:p>
        <w:p w:rsidR="00A22635" w:rsidRDefault="00253598">
          <w:pPr>
            <w:spacing w:line="259" w:lineRule="auto"/>
            <w:jc w:val="center"/>
          </w:pPr>
          <w:r>
            <w:rPr>
              <w:b/>
              <w:sz w:val="28"/>
            </w:rPr>
            <w:t xml:space="preserve">Strutturazione, identificazione, divulgazione e revisione della documentazione </w:t>
          </w:r>
        </w:p>
      </w:tc>
      <w:tc>
        <w:tcPr>
          <w:tcW w:w="2410" w:type="dxa"/>
          <w:vMerge w:val="restart"/>
          <w:tcBorders>
            <w:top w:val="single" w:sz="12" w:space="0" w:color="000000"/>
            <w:left w:val="single" w:sz="4" w:space="0" w:color="000000"/>
            <w:bottom w:val="single" w:sz="12" w:space="0" w:color="000000"/>
            <w:right w:val="single" w:sz="12" w:space="0" w:color="000000"/>
          </w:tcBorders>
        </w:tcPr>
        <w:p w:rsidR="00A22635" w:rsidRDefault="00253598">
          <w:pPr>
            <w:spacing w:after="191" w:line="259" w:lineRule="auto"/>
            <w:ind w:left="7"/>
          </w:pPr>
          <w:r>
            <w:rPr>
              <w:sz w:val="18"/>
            </w:rPr>
            <w:t>Codice:</w:t>
          </w:r>
          <w:r>
            <w:rPr>
              <w:b/>
              <w:sz w:val="18"/>
            </w:rPr>
            <w:t xml:space="preserve"> IO PA01 01 </w:t>
          </w:r>
        </w:p>
        <w:p w:rsidR="00A22635" w:rsidRDefault="00253598">
          <w:pPr>
            <w:spacing w:after="100" w:line="259" w:lineRule="auto"/>
            <w:ind w:left="7"/>
          </w:pPr>
          <w:r>
            <w:rPr>
              <w:sz w:val="18"/>
            </w:rPr>
            <w:t>Revisione n.:</w:t>
          </w:r>
          <w:r>
            <w:rPr>
              <w:b/>
              <w:sz w:val="18"/>
            </w:rPr>
            <w:t xml:space="preserve">1 </w:t>
          </w:r>
        </w:p>
        <w:p w:rsidR="00A22635" w:rsidRDefault="00253598">
          <w:pPr>
            <w:spacing w:after="11" w:line="259" w:lineRule="auto"/>
            <w:ind w:left="7"/>
          </w:pPr>
          <w:r>
            <w:rPr>
              <w:sz w:val="18"/>
            </w:rPr>
            <w:t xml:space="preserve">Data Emissione: </w:t>
          </w:r>
          <w:r>
            <w:rPr>
              <w:b/>
              <w:sz w:val="17"/>
            </w:rPr>
            <w:t>17/02/2015</w:t>
          </w:r>
          <w:r>
            <w:rPr>
              <w:sz w:val="18"/>
            </w:rPr>
            <w:t xml:space="preserve"> </w:t>
          </w:r>
        </w:p>
        <w:p w:rsidR="00A22635" w:rsidRDefault="00253598">
          <w:pPr>
            <w:spacing w:line="259" w:lineRule="auto"/>
            <w:jc w:val="right"/>
          </w:pPr>
          <w:r>
            <w:rPr>
              <w:sz w:val="18"/>
            </w:rPr>
            <w:t xml:space="preserve"> </w:t>
          </w:r>
        </w:p>
        <w:p w:rsidR="00A22635" w:rsidRDefault="00253598">
          <w:pPr>
            <w:spacing w:line="259" w:lineRule="auto"/>
            <w:ind w:right="38"/>
            <w:jc w:val="right"/>
          </w:pPr>
          <w:r>
            <w:rPr>
              <w:sz w:val="18"/>
            </w:rPr>
            <w:t xml:space="preserve">pag. </w:t>
          </w:r>
          <w:r w:rsidR="000F17DB">
            <w:fldChar w:fldCharType="begin"/>
          </w:r>
          <w:r>
            <w:instrText xml:space="preserve"> PAGE   \* MERGEFORMAT </w:instrText>
          </w:r>
          <w:r w:rsidR="000F17DB">
            <w:fldChar w:fldCharType="separate"/>
          </w:r>
          <w:r>
            <w:rPr>
              <w:sz w:val="18"/>
            </w:rPr>
            <w:t>1</w:t>
          </w:r>
          <w:r w:rsidR="000F17DB">
            <w:rPr>
              <w:sz w:val="18"/>
            </w:rPr>
            <w:fldChar w:fldCharType="end"/>
          </w:r>
          <w:r>
            <w:rPr>
              <w:sz w:val="18"/>
            </w:rPr>
            <w:t xml:space="preserve"> di </w:t>
          </w:r>
          <w:r w:rsidR="004044E6">
            <w:fldChar w:fldCharType="begin"/>
          </w:r>
          <w:r w:rsidR="004044E6">
            <w:instrText xml:space="preserve"> NUMPAGES   \* MERGEFORMAT </w:instrText>
          </w:r>
          <w:r w:rsidR="004044E6">
            <w:fldChar w:fldCharType="separate"/>
          </w:r>
          <w:r w:rsidR="00B023DB" w:rsidRPr="00B023DB">
            <w:rPr>
              <w:noProof/>
              <w:sz w:val="18"/>
            </w:rPr>
            <w:t>7</w:t>
          </w:r>
          <w:r w:rsidR="004044E6">
            <w:rPr>
              <w:noProof/>
              <w:sz w:val="18"/>
            </w:rPr>
            <w:fldChar w:fldCharType="end"/>
          </w:r>
          <w:r>
            <w:rPr>
              <w:sz w:val="18"/>
            </w:rPr>
            <w:t xml:space="preserve"> </w:t>
          </w:r>
        </w:p>
      </w:tc>
    </w:tr>
    <w:tr w:rsidR="00A22635">
      <w:trPr>
        <w:trHeight w:val="502"/>
      </w:trPr>
      <w:tc>
        <w:tcPr>
          <w:tcW w:w="2190" w:type="dxa"/>
          <w:tcBorders>
            <w:top w:val="single" w:sz="12" w:space="0" w:color="000000"/>
            <w:left w:val="single" w:sz="12" w:space="0" w:color="000000"/>
            <w:bottom w:val="single" w:sz="12" w:space="0" w:color="000000"/>
            <w:right w:val="single" w:sz="12" w:space="0" w:color="000000"/>
          </w:tcBorders>
          <w:shd w:val="clear" w:color="auto" w:fill="E0E0E0"/>
        </w:tcPr>
        <w:p w:rsidR="00A22635" w:rsidRDefault="00253598">
          <w:pPr>
            <w:spacing w:line="259" w:lineRule="auto"/>
            <w:jc w:val="center"/>
          </w:pPr>
          <w:r>
            <w:rPr>
              <w:b/>
              <w:sz w:val="14"/>
            </w:rPr>
            <w:t xml:space="preserve">COORDINAMENTO STAFF DI DIREZIONE </w:t>
          </w:r>
        </w:p>
      </w:tc>
      <w:tc>
        <w:tcPr>
          <w:tcW w:w="0" w:type="auto"/>
          <w:vMerge/>
          <w:tcBorders>
            <w:top w:val="nil"/>
            <w:left w:val="single" w:sz="12" w:space="0" w:color="000000"/>
            <w:bottom w:val="single" w:sz="12" w:space="0" w:color="000000"/>
            <w:right w:val="single" w:sz="4" w:space="0" w:color="000000"/>
          </w:tcBorders>
        </w:tcPr>
        <w:p w:rsidR="00A22635" w:rsidRDefault="00A22635">
          <w:pPr>
            <w:spacing w:after="160" w:line="259" w:lineRule="auto"/>
          </w:pPr>
        </w:p>
      </w:tc>
      <w:tc>
        <w:tcPr>
          <w:tcW w:w="0" w:type="auto"/>
          <w:vMerge/>
          <w:tcBorders>
            <w:top w:val="nil"/>
            <w:left w:val="single" w:sz="4" w:space="0" w:color="000000"/>
            <w:bottom w:val="single" w:sz="12" w:space="0" w:color="000000"/>
            <w:right w:val="single" w:sz="12" w:space="0" w:color="000000"/>
          </w:tcBorders>
        </w:tcPr>
        <w:p w:rsidR="00A22635" w:rsidRDefault="00A22635">
          <w:pPr>
            <w:spacing w:after="160" w:line="259" w:lineRule="auto"/>
          </w:pPr>
        </w:p>
      </w:tc>
    </w:tr>
  </w:tbl>
  <w:p w:rsidR="00A22635" w:rsidRDefault="00253598">
    <w:pPr>
      <w:spacing w:line="259" w:lineRule="auto"/>
      <w:ind w:left="142"/>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68" w:tblpY="727"/>
      <w:tblOverlap w:val="never"/>
      <w:tblW w:w="9845" w:type="dxa"/>
      <w:tblInd w:w="0" w:type="dxa"/>
      <w:tblCellMar>
        <w:top w:w="44" w:type="dxa"/>
        <w:left w:w="65" w:type="dxa"/>
        <w:right w:w="30" w:type="dxa"/>
      </w:tblCellMar>
      <w:tblLook w:val="04A0" w:firstRow="1" w:lastRow="0" w:firstColumn="1" w:lastColumn="0" w:noHBand="0" w:noVBand="1"/>
    </w:tblPr>
    <w:tblGrid>
      <w:gridCol w:w="2190"/>
      <w:gridCol w:w="5245"/>
      <w:gridCol w:w="2410"/>
    </w:tblGrid>
    <w:tr w:rsidR="00A22635">
      <w:trPr>
        <w:trHeight w:val="1027"/>
      </w:trPr>
      <w:tc>
        <w:tcPr>
          <w:tcW w:w="2190" w:type="dxa"/>
          <w:tcBorders>
            <w:top w:val="single" w:sz="12" w:space="0" w:color="000000"/>
            <w:left w:val="single" w:sz="12" w:space="0" w:color="000000"/>
            <w:bottom w:val="single" w:sz="12" w:space="0" w:color="000000"/>
            <w:right w:val="single" w:sz="9" w:space="0" w:color="000000"/>
          </w:tcBorders>
        </w:tcPr>
        <w:p w:rsidR="00A22635" w:rsidRPr="00C07D00" w:rsidRDefault="00253598">
          <w:pPr>
            <w:tabs>
              <w:tab w:val="center" w:pos="797"/>
            </w:tabs>
            <w:spacing w:line="259" w:lineRule="auto"/>
            <w:rPr>
              <w:i/>
            </w:rPr>
          </w:pPr>
          <w:r w:rsidRPr="00C07D00">
            <w:rPr>
              <w:i/>
              <w:sz w:val="8"/>
            </w:rPr>
            <w:t xml:space="preserve"> </w:t>
          </w:r>
          <w:r w:rsidRPr="00C07D00">
            <w:rPr>
              <w:i/>
              <w:sz w:val="8"/>
            </w:rPr>
            <w:tab/>
          </w:r>
          <w:r w:rsidRPr="00C07D00">
            <w:rPr>
              <w:i/>
              <w:noProof/>
            </w:rPr>
            <w:drawing>
              <wp:inline distT="0" distB="0" distL="0" distR="0">
                <wp:extent cx="914400" cy="573024"/>
                <wp:effectExtent l="0" t="0" r="0" b="0"/>
                <wp:docPr id="1"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
                        <a:stretch>
                          <a:fillRect/>
                        </a:stretch>
                      </pic:blipFill>
                      <pic:spPr>
                        <a:xfrm>
                          <a:off x="0" y="0"/>
                          <a:ext cx="914400" cy="573024"/>
                        </a:xfrm>
                        <a:prstGeom prst="rect">
                          <a:avLst/>
                        </a:prstGeom>
                      </pic:spPr>
                    </pic:pic>
                  </a:graphicData>
                </a:graphic>
              </wp:inline>
            </w:drawing>
          </w:r>
        </w:p>
      </w:tc>
      <w:tc>
        <w:tcPr>
          <w:tcW w:w="5245" w:type="dxa"/>
          <w:vMerge w:val="restart"/>
          <w:tcBorders>
            <w:top w:val="single" w:sz="12" w:space="0" w:color="000000"/>
            <w:left w:val="single" w:sz="12" w:space="0" w:color="000000"/>
            <w:bottom w:val="single" w:sz="12" w:space="0" w:color="000000"/>
            <w:right w:val="single" w:sz="4" w:space="0" w:color="000000"/>
          </w:tcBorders>
          <w:shd w:val="clear" w:color="auto" w:fill="F2F2F2"/>
        </w:tcPr>
        <w:p w:rsidR="00A22635" w:rsidRPr="00C07D00" w:rsidRDefault="00253598" w:rsidP="00C07D00">
          <w:pPr>
            <w:spacing w:after="253" w:line="259" w:lineRule="auto"/>
            <w:ind w:right="76"/>
            <w:jc w:val="center"/>
            <w:rPr>
              <w:i/>
            </w:rPr>
          </w:pPr>
          <w:r w:rsidRPr="00C07D00">
            <w:rPr>
              <w:i/>
            </w:rPr>
            <w:t>Istruzione Operativa</w:t>
          </w:r>
        </w:p>
        <w:p w:rsidR="00A22635" w:rsidRPr="00C07D00" w:rsidRDefault="00C07D00" w:rsidP="00C07D00">
          <w:pPr>
            <w:spacing w:after="160" w:line="259" w:lineRule="auto"/>
            <w:jc w:val="center"/>
            <w:rPr>
              <w:rFonts w:asciiTheme="minorHAnsi" w:eastAsiaTheme="minorHAnsi" w:hAnsiTheme="minorHAnsi" w:cstheme="minorBidi"/>
              <w:b/>
              <w:i/>
              <w:color w:val="auto"/>
              <w:lang w:eastAsia="en-US"/>
            </w:rPr>
          </w:pPr>
          <w:r w:rsidRPr="00C07D00">
            <w:rPr>
              <w:rFonts w:asciiTheme="minorHAnsi" w:eastAsiaTheme="minorHAnsi" w:hAnsiTheme="minorHAnsi" w:cstheme="minorBidi"/>
              <w:b/>
              <w:i/>
              <w:color w:val="auto"/>
              <w:sz w:val="22"/>
              <w:lang w:eastAsia="en-US"/>
            </w:rPr>
            <w:t>CORRETTO UTILIZZO DELLE SOLUZIONI CONCENTRAT</w:t>
          </w:r>
          <w:r>
            <w:rPr>
              <w:rFonts w:asciiTheme="minorHAnsi" w:eastAsiaTheme="minorHAnsi" w:hAnsiTheme="minorHAnsi" w:cstheme="minorBidi"/>
              <w:b/>
              <w:i/>
              <w:color w:val="auto"/>
              <w:sz w:val="22"/>
              <w:lang w:eastAsia="en-US"/>
            </w:rPr>
            <w:t>E DI CLORURO DI POTASSIO – KCL -</w:t>
          </w:r>
          <w:r w:rsidRPr="00C07D00">
            <w:rPr>
              <w:rFonts w:asciiTheme="minorHAnsi" w:eastAsiaTheme="minorHAnsi" w:hAnsiTheme="minorHAnsi" w:cstheme="minorBidi"/>
              <w:b/>
              <w:i/>
              <w:color w:val="auto"/>
              <w:sz w:val="22"/>
              <w:lang w:eastAsia="en-US"/>
            </w:rPr>
            <w:t xml:space="preserve"> ED ALTRE SOLUZIONI CONCENTRATE CONTENENTI POTASSIO</w:t>
          </w:r>
        </w:p>
      </w:tc>
      <w:tc>
        <w:tcPr>
          <w:tcW w:w="2410" w:type="dxa"/>
          <w:vMerge w:val="restart"/>
          <w:tcBorders>
            <w:top w:val="single" w:sz="12" w:space="0" w:color="000000"/>
            <w:left w:val="single" w:sz="4" w:space="0" w:color="000000"/>
            <w:bottom w:val="single" w:sz="12" w:space="0" w:color="000000"/>
            <w:right w:val="single" w:sz="12" w:space="0" w:color="000000"/>
          </w:tcBorders>
        </w:tcPr>
        <w:p w:rsidR="00A22635" w:rsidRDefault="00253598">
          <w:pPr>
            <w:spacing w:after="191" w:line="259" w:lineRule="auto"/>
            <w:ind w:left="7"/>
          </w:pPr>
          <w:r>
            <w:rPr>
              <w:sz w:val="18"/>
            </w:rPr>
            <w:t>Codice:</w:t>
          </w:r>
          <w:r w:rsidR="00402238">
            <w:rPr>
              <w:b/>
              <w:sz w:val="18"/>
            </w:rPr>
            <w:t xml:space="preserve"> IO PA17 </w:t>
          </w:r>
          <w:r w:rsidR="00C07D00">
            <w:rPr>
              <w:b/>
              <w:sz w:val="18"/>
            </w:rPr>
            <w:t>02</w:t>
          </w:r>
        </w:p>
        <w:p w:rsidR="00A22635" w:rsidRDefault="00253598">
          <w:pPr>
            <w:spacing w:after="100" w:line="259" w:lineRule="auto"/>
            <w:ind w:left="7"/>
          </w:pPr>
          <w:r>
            <w:rPr>
              <w:sz w:val="18"/>
            </w:rPr>
            <w:t>Revisione n.:</w:t>
          </w:r>
          <w:r>
            <w:rPr>
              <w:b/>
              <w:sz w:val="18"/>
            </w:rPr>
            <w:t xml:space="preserve">1 </w:t>
          </w:r>
        </w:p>
        <w:p w:rsidR="00A22635" w:rsidRDefault="00253598">
          <w:pPr>
            <w:spacing w:after="11" w:line="259" w:lineRule="auto"/>
            <w:ind w:left="7"/>
          </w:pPr>
          <w:r>
            <w:rPr>
              <w:sz w:val="18"/>
            </w:rPr>
            <w:t xml:space="preserve">Data Emissione: </w:t>
          </w:r>
          <w:r w:rsidR="00C07D00">
            <w:rPr>
              <w:b/>
              <w:sz w:val="17"/>
            </w:rPr>
            <w:t>21/12/2016</w:t>
          </w:r>
          <w:r>
            <w:rPr>
              <w:sz w:val="18"/>
            </w:rPr>
            <w:t xml:space="preserve"> </w:t>
          </w:r>
        </w:p>
        <w:p w:rsidR="00A22635" w:rsidRDefault="00253598">
          <w:pPr>
            <w:spacing w:line="259" w:lineRule="auto"/>
            <w:jc w:val="right"/>
          </w:pPr>
          <w:r>
            <w:rPr>
              <w:sz w:val="18"/>
            </w:rPr>
            <w:t xml:space="preserve"> </w:t>
          </w:r>
        </w:p>
        <w:p w:rsidR="00A22635" w:rsidRDefault="00253598">
          <w:pPr>
            <w:spacing w:line="259" w:lineRule="auto"/>
            <w:ind w:right="38"/>
            <w:jc w:val="right"/>
          </w:pPr>
          <w:r w:rsidRPr="00782197">
            <w:rPr>
              <w:color w:val="auto"/>
              <w:sz w:val="18"/>
            </w:rPr>
            <w:t xml:space="preserve">pag. </w:t>
          </w:r>
          <w:r w:rsidR="000F17DB" w:rsidRPr="00782197">
            <w:rPr>
              <w:color w:val="auto"/>
            </w:rPr>
            <w:fldChar w:fldCharType="begin"/>
          </w:r>
          <w:r w:rsidRPr="00782197">
            <w:rPr>
              <w:color w:val="auto"/>
            </w:rPr>
            <w:instrText xml:space="preserve"> PAGE   \* MERGEFORMAT </w:instrText>
          </w:r>
          <w:r w:rsidR="000F17DB" w:rsidRPr="00782197">
            <w:rPr>
              <w:color w:val="auto"/>
            </w:rPr>
            <w:fldChar w:fldCharType="separate"/>
          </w:r>
          <w:r w:rsidR="0009267D" w:rsidRPr="0009267D">
            <w:rPr>
              <w:noProof/>
              <w:color w:val="auto"/>
              <w:sz w:val="18"/>
            </w:rPr>
            <w:t>2</w:t>
          </w:r>
          <w:r w:rsidR="000F17DB" w:rsidRPr="00782197">
            <w:rPr>
              <w:color w:val="auto"/>
              <w:sz w:val="18"/>
            </w:rPr>
            <w:fldChar w:fldCharType="end"/>
          </w:r>
          <w:r w:rsidRPr="00782197">
            <w:rPr>
              <w:color w:val="auto"/>
              <w:sz w:val="18"/>
            </w:rPr>
            <w:t xml:space="preserve"> di </w:t>
          </w:r>
          <w:r w:rsidR="004044E6">
            <w:fldChar w:fldCharType="begin"/>
          </w:r>
          <w:r w:rsidR="004044E6">
            <w:instrText xml:space="preserve"> NUMPAGES   \* MERGEFORMAT </w:instrText>
          </w:r>
          <w:r w:rsidR="004044E6">
            <w:fldChar w:fldCharType="separate"/>
          </w:r>
          <w:r w:rsidR="0009267D" w:rsidRPr="0009267D">
            <w:rPr>
              <w:noProof/>
              <w:color w:val="auto"/>
              <w:sz w:val="18"/>
            </w:rPr>
            <w:t>6</w:t>
          </w:r>
          <w:r w:rsidR="004044E6">
            <w:rPr>
              <w:noProof/>
              <w:color w:val="auto"/>
              <w:sz w:val="18"/>
            </w:rPr>
            <w:fldChar w:fldCharType="end"/>
          </w:r>
          <w:r w:rsidRPr="00782197">
            <w:rPr>
              <w:color w:val="auto"/>
              <w:sz w:val="18"/>
            </w:rPr>
            <w:t xml:space="preserve"> </w:t>
          </w:r>
        </w:p>
      </w:tc>
    </w:tr>
    <w:tr w:rsidR="00A22635">
      <w:trPr>
        <w:trHeight w:val="502"/>
      </w:trPr>
      <w:tc>
        <w:tcPr>
          <w:tcW w:w="2190" w:type="dxa"/>
          <w:tcBorders>
            <w:top w:val="single" w:sz="12" w:space="0" w:color="000000"/>
            <w:left w:val="single" w:sz="12" w:space="0" w:color="000000"/>
            <w:bottom w:val="single" w:sz="12" w:space="0" w:color="000000"/>
            <w:right w:val="single" w:sz="12" w:space="0" w:color="000000"/>
          </w:tcBorders>
          <w:shd w:val="clear" w:color="auto" w:fill="E0E0E0"/>
        </w:tcPr>
        <w:p w:rsidR="00A22635" w:rsidRPr="00C07D00" w:rsidRDefault="0070719C" w:rsidP="0070719C">
          <w:pPr>
            <w:spacing w:line="600" w:lineRule="auto"/>
            <w:jc w:val="center"/>
            <w:rPr>
              <w:i/>
            </w:rPr>
          </w:pPr>
          <w:r w:rsidRPr="0070719C">
            <w:rPr>
              <w:b/>
              <w:i/>
              <w:color w:val="auto"/>
              <w:sz w:val="14"/>
            </w:rPr>
            <w:t>UOC FARMACIA</w:t>
          </w:r>
        </w:p>
      </w:tc>
      <w:tc>
        <w:tcPr>
          <w:tcW w:w="0" w:type="auto"/>
          <w:vMerge/>
          <w:tcBorders>
            <w:top w:val="nil"/>
            <w:left w:val="single" w:sz="12" w:space="0" w:color="000000"/>
            <w:bottom w:val="single" w:sz="12" w:space="0" w:color="000000"/>
            <w:right w:val="single" w:sz="4" w:space="0" w:color="000000"/>
          </w:tcBorders>
        </w:tcPr>
        <w:p w:rsidR="00A22635" w:rsidRPr="00C07D00" w:rsidRDefault="00A22635">
          <w:pPr>
            <w:spacing w:after="160" w:line="259" w:lineRule="auto"/>
            <w:rPr>
              <w:i/>
            </w:rPr>
          </w:pPr>
        </w:p>
      </w:tc>
      <w:tc>
        <w:tcPr>
          <w:tcW w:w="0" w:type="auto"/>
          <w:vMerge/>
          <w:tcBorders>
            <w:top w:val="nil"/>
            <w:left w:val="single" w:sz="4" w:space="0" w:color="000000"/>
            <w:bottom w:val="single" w:sz="12" w:space="0" w:color="000000"/>
            <w:right w:val="single" w:sz="12" w:space="0" w:color="000000"/>
          </w:tcBorders>
        </w:tcPr>
        <w:p w:rsidR="00A22635" w:rsidRDefault="00A22635">
          <w:pPr>
            <w:spacing w:after="160" w:line="259" w:lineRule="auto"/>
          </w:pPr>
        </w:p>
      </w:tc>
    </w:tr>
  </w:tbl>
  <w:p w:rsidR="00A22635" w:rsidRDefault="00253598">
    <w:pPr>
      <w:spacing w:line="259" w:lineRule="auto"/>
      <w:ind w:left="142"/>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68" w:tblpY="727"/>
      <w:tblOverlap w:val="never"/>
      <w:tblW w:w="9845" w:type="dxa"/>
      <w:tblInd w:w="0" w:type="dxa"/>
      <w:tblCellMar>
        <w:top w:w="44" w:type="dxa"/>
        <w:left w:w="65" w:type="dxa"/>
        <w:right w:w="30" w:type="dxa"/>
      </w:tblCellMar>
      <w:tblLook w:val="04A0" w:firstRow="1" w:lastRow="0" w:firstColumn="1" w:lastColumn="0" w:noHBand="0" w:noVBand="1"/>
    </w:tblPr>
    <w:tblGrid>
      <w:gridCol w:w="2190"/>
      <w:gridCol w:w="5245"/>
      <w:gridCol w:w="2410"/>
    </w:tblGrid>
    <w:tr w:rsidR="00A22635">
      <w:trPr>
        <w:trHeight w:val="1027"/>
      </w:trPr>
      <w:tc>
        <w:tcPr>
          <w:tcW w:w="2190" w:type="dxa"/>
          <w:tcBorders>
            <w:top w:val="single" w:sz="12" w:space="0" w:color="000000"/>
            <w:left w:val="single" w:sz="12" w:space="0" w:color="000000"/>
            <w:bottom w:val="single" w:sz="12" w:space="0" w:color="000000"/>
            <w:right w:val="single" w:sz="9" w:space="0" w:color="000000"/>
          </w:tcBorders>
        </w:tcPr>
        <w:p w:rsidR="00A22635" w:rsidRDefault="00253598">
          <w:pPr>
            <w:tabs>
              <w:tab w:val="center" w:pos="797"/>
            </w:tabs>
            <w:spacing w:line="259" w:lineRule="auto"/>
          </w:pPr>
          <w:r>
            <w:rPr>
              <w:sz w:val="8"/>
            </w:rPr>
            <w:t xml:space="preserve"> </w:t>
          </w:r>
          <w:r>
            <w:rPr>
              <w:sz w:val="8"/>
            </w:rPr>
            <w:tab/>
          </w:r>
          <w:r>
            <w:rPr>
              <w:noProof/>
            </w:rPr>
            <w:drawing>
              <wp:inline distT="0" distB="0" distL="0" distR="0">
                <wp:extent cx="914400" cy="573024"/>
                <wp:effectExtent l="0" t="0" r="0" b="0"/>
                <wp:docPr id="2"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
                        <a:stretch>
                          <a:fillRect/>
                        </a:stretch>
                      </pic:blipFill>
                      <pic:spPr>
                        <a:xfrm>
                          <a:off x="0" y="0"/>
                          <a:ext cx="914400" cy="573024"/>
                        </a:xfrm>
                        <a:prstGeom prst="rect">
                          <a:avLst/>
                        </a:prstGeom>
                      </pic:spPr>
                    </pic:pic>
                  </a:graphicData>
                </a:graphic>
              </wp:inline>
            </w:drawing>
          </w:r>
        </w:p>
      </w:tc>
      <w:tc>
        <w:tcPr>
          <w:tcW w:w="5245" w:type="dxa"/>
          <w:vMerge w:val="restart"/>
          <w:tcBorders>
            <w:top w:val="single" w:sz="12" w:space="0" w:color="000000"/>
            <w:left w:val="single" w:sz="12" w:space="0" w:color="000000"/>
            <w:bottom w:val="single" w:sz="12" w:space="0" w:color="000000"/>
            <w:right w:val="single" w:sz="4" w:space="0" w:color="000000"/>
          </w:tcBorders>
          <w:shd w:val="clear" w:color="auto" w:fill="F2F2F2"/>
        </w:tcPr>
        <w:p w:rsidR="00A22635" w:rsidRDefault="00253598">
          <w:pPr>
            <w:spacing w:after="253" w:line="259" w:lineRule="auto"/>
            <w:ind w:right="76"/>
            <w:jc w:val="center"/>
          </w:pPr>
          <w:r>
            <w:rPr>
              <w:i/>
            </w:rPr>
            <w:t xml:space="preserve">Istruzione Operativa </w:t>
          </w:r>
        </w:p>
        <w:p w:rsidR="00A22635" w:rsidRDefault="00253598">
          <w:pPr>
            <w:spacing w:line="259" w:lineRule="auto"/>
            <w:jc w:val="center"/>
          </w:pPr>
          <w:r>
            <w:rPr>
              <w:b/>
              <w:sz w:val="28"/>
            </w:rPr>
            <w:t xml:space="preserve">Strutturazione, identificazione, divulgazione e revisione della documentazione </w:t>
          </w:r>
        </w:p>
      </w:tc>
      <w:tc>
        <w:tcPr>
          <w:tcW w:w="2410" w:type="dxa"/>
          <w:vMerge w:val="restart"/>
          <w:tcBorders>
            <w:top w:val="single" w:sz="12" w:space="0" w:color="000000"/>
            <w:left w:val="single" w:sz="4" w:space="0" w:color="000000"/>
            <w:bottom w:val="single" w:sz="12" w:space="0" w:color="000000"/>
            <w:right w:val="single" w:sz="12" w:space="0" w:color="000000"/>
          </w:tcBorders>
        </w:tcPr>
        <w:p w:rsidR="00A22635" w:rsidRDefault="00253598">
          <w:pPr>
            <w:spacing w:after="191" w:line="259" w:lineRule="auto"/>
            <w:ind w:left="7"/>
          </w:pPr>
          <w:r>
            <w:rPr>
              <w:sz w:val="18"/>
            </w:rPr>
            <w:t>Codice:</w:t>
          </w:r>
          <w:r>
            <w:rPr>
              <w:b/>
              <w:sz w:val="18"/>
            </w:rPr>
            <w:t xml:space="preserve"> IO PA01 01 </w:t>
          </w:r>
        </w:p>
        <w:p w:rsidR="00A22635" w:rsidRDefault="00253598">
          <w:pPr>
            <w:spacing w:after="100" w:line="259" w:lineRule="auto"/>
            <w:ind w:left="7"/>
          </w:pPr>
          <w:r>
            <w:rPr>
              <w:sz w:val="18"/>
            </w:rPr>
            <w:t>Revisione n.:</w:t>
          </w:r>
          <w:r>
            <w:rPr>
              <w:b/>
              <w:sz w:val="18"/>
            </w:rPr>
            <w:t xml:space="preserve">1 </w:t>
          </w:r>
        </w:p>
        <w:p w:rsidR="00A22635" w:rsidRDefault="00253598">
          <w:pPr>
            <w:spacing w:after="11" w:line="259" w:lineRule="auto"/>
            <w:ind w:left="7"/>
          </w:pPr>
          <w:r>
            <w:rPr>
              <w:sz w:val="18"/>
            </w:rPr>
            <w:t xml:space="preserve">Data Emissione: </w:t>
          </w:r>
          <w:r>
            <w:rPr>
              <w:b/>
              <w:sz w:val="17"/>
            </w:rPr>
            <w:t>17/02/2015</w:t>
          </w:r>
          <w:r>
            <w:rPr>
              <w:sz w:val="18"/>
            </w:rPr>
            <w:t xml:space="preserve"> </w:t>
          </w:r>
        </w:p>
        <w:p w:rsidR="00A22635" w:rsidRDefault="00253598">
          <w:pPr>
            <w:spacing w:line="259" w:lineRule="auto"/>
            <w:jc w:val="right"/>
          </w:pPr>
          <w:r>
            <w:rPr>
              <w:sz w:val="18"/>
            </w:rPr>
            <w:t xml:space="preserve"> </w:t>
          </w:r>
        </w:p>
        <w:p w:rsidR="00A22635" w:rsidRDefault="00253598">
          <w:pPr>
            <w:spacing w:line="259" w:lineRule="auto"/>
            <w:ind w:right="38"/>
            <w:jc w:val="right"/>
          </w:pPr>
          <w:r>
            <w:rPr>
              <w:sz w:val="18"/>
            </w:rPr>
            <w:t xml:space="preserve">pag. </w:t>
          </w:r>
          <w:r w:rsidR="000F17DB">
            <w:fldChar w:fldCharType="begin"/>
          </w:r>
          <w:r>
            <w:instrText xml:space="preserve"> PAGE   \* MERGEFORMAT </w:instrText>
          </w:r>
          <w:r w:rsidR="000F17DB">
            <w:fldChar w:fldCharType="separate"/>
          </w:r>
          <w:r>
            <w:rPr>
              <w:sz w:val="18"/>
            </w:rPr>
            <w:t>1</w:t>
          </w:r>
          <w:r w:rsidR="000F17DB">
            <w:rPr>
              <w:sz w:val="18"/>
            </w:rPr>
            <w:fldChar w:fldCharType="end"/>
          </w:r>
          <w:r>
            <w:rPr>
              <w:sz w:val="18"/>
            </w:rPr>
            <w:t xml:space="preserve"> di </w:t>
          </w:r>
          <w:r w:rsidR="004044E6">
            <w:fldChar w:fldCharType="begin"/>
          </w:r>
          <w:r w:rsidR="004044E6">
            <w:instrText xml:space="preserve"> NUMPAGES   \* MERGEFORMAT </w:instrText>
          </w:r>
          <w:r w:rsidR="004044E6">
            <w:fldChar w:fldCharType="separate"/>
          </w:r>
          <w:r w:rsidR="00B023DB" w:rsidRPr="00B023DB">
            <w:rPr>
              <w:noProof/>
              <w:sz w:val="18"/>
            </w:rPr>
            <w:t>7</w:t>
          </w:r>
          <w:r w:rsidR="004044E6">
            <w:rPr>
              <w:noProof/>
              <w:sz w:val="18"/>
            </w:rPr>
            <w:fldChar w:fldCharType="end"/>
          </w:r>
          <w:r>
            <w:rPr>
              <w:sz w:val="18"/>
            </w:rPr>
            <w:t xml:space="preserve"> </w:t>
          </w:r>
        </w:p>
      </w:tc>
    </w:tr>
    <w:tr w:rsidR="00A22635">
      <w:trPr>
        <w:trHeight w:val="502"/>
      </w:trPr>
      <w:tc>
        <w:tcPr>
          <w:tcW w:w="2190" w:type="dxa"/>
          <w:tcBorders>
            <w:top w:val="single" w:sz="12" w:space="0" w:color="000000"/>
            <w:left w:val="single" w:sz="12" w:space="0" w:color="000000"/>
            <w:bottom w:val="single" w:sz="12" w:space="0" w:color="000000"/>
            <w:right w:val="single" w:sz="12" w:space="0" w:color="000000"/>
          </w:tcBorders>
          <w:shd w:val="clear" w:color="auto" w:fill="E0E0E0"/>
        </w:tcPr>
        <w:p w:rsidR="00A22635" w:rsidRDefault="00253598">
          <w:pPr>
            <w:spacing w:line="259" w:lineRule="auto"/>
            <w:jc w:val="center"/>
          </w:pPr>
          <w:r>
            <w:rPr>
              <w:b/>
              <w:sz w:val="14"/>
            </w:rPr>
            <w:t xml:space="preserve">COORDINAMENTO STAFF DI DIREZIONE </w:t>
          </w:r>
        </w:p>
      </w:tc>
      <w:tc>
        <w:tcPr>
          <w:tcW w:w="0" w:type="auto"/>
          <w:vMerge/>
          <w:tcBorders>
            <w:top w:val="nil"/>
            <w:left w:val="single" w:sz="12" w:space="0" w:color="000000"/>
            <w:bottom w:val="single" w:sz="12" w:space="0" w:color="000000"/>
            <w:right w:val="single" w:sz="4" w:space="0" w:color="000000"/>
          </w:tcBorders>
        </w:tcPr>
        <w:p w:rsidR="00A22635" w:rsidRDefault="00A22635">
          <w:pPr>
            <w:spacing w:after="160" w:line="259" w:lineRule="auto"/>
          </w:pPr>
        </w:p>
      </w:tc>
      <w:tc>
        <w:tcPr>
          <w:tcW w:w="0" w:type="auto"/>
          <w:vMerge/>
          <w:tcBorders>
            <w:top w:val="nil"/>
            <w:left w:val="single" w:sz="4" w:space="0" w:color="000000"/>
            <w:bottom w:val="single" w:sz="12" w:space="0" w:color="000000"/>
            <w:right w:val="single" w:sz="12" w:space="0" w:color="000000"/>
          </w:tcBorders>
        </w:tcPr>
        <w:p w:rsidR="00A22635" w:rsidRDefault="00A22635">
          <w:pPr>
            <w:spacing w:after="160" w:line="259" w:lineRule="auto"/>
          </w:pPr>
        </w:p>
      </w:tc>
    </w:tr>
  </w:tbl>
  <w:p w:rsidR="00A22635" w:rsidRDefault="00253598">
    <w:pPr>
      <w:spacing w:line="259" w:lineRule="auto"/>
      <w:ind w:left="142"/>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42BF3"/>
    <w:multiLevelType w:val="hybridMultilevel"/>
    <w:tmpl w:val="7B70FCFE"/>
    <w:lvl w:ilvl="0" w:tplc="446AFF00">
      <w:start w:val="1"/>
      <w:numFmt w:val="bullet"/>
      <w:lvlText w:val="–"/>
      <w:lvlJc w:val="left"/>
      <w:pPr>
        <w:ind w:left="9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C3877EA">
      <w:start w:val="1"/>
      <w:numFmt w:val="bullet"/>
      <w:lvlText w:val="o"/>
      <w:lvlJc w:val="left"/>
      <w:pPr>
        <w:ind w:left="15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9B28C7E">
      <w:start w:val="1"/>
      <w:numFmt w:val="bullet"/>
      <w:lvlText w:val="▪"/>
      <w:lvlJc w:val="left"/>
      <w:pPr>
        <w:ind w:left="22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806244">
      <w:start w:val="1"/>
      <w:numFmt w:val="bullet"/>
      <w:lvlText w:val="•"/>
      <w:lvlJc w:val="left"/>
      <w:pPr>
        <w:ind w:left="29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5307282">
      <w:start w:val="1"/>
      <w:numFmt w:val="bullet"/>
      <w:lvlText w:val="o"/>
      <w:lvlJc w:val="left"/>
      <w:pPr>
        <w:ind w:left="36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0768E76">
      <w:start w:val="1"/>
      <w:numFmt w:val="bullet"/>
      <w:lvlText w:val="▪"/>
      <w:lvlJc w:val="left"/>
      <w:pPr>
        <w:ind w:left="43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7EFFD0">
      <w:start w:val="1"/>
      <w:numFmt w:val="bullet"/>
      <w:lvlText w:val="•"/>
      <w:lvlJc w:val="left"/>
      <w:pPr>
        <w:ind w:left="51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A5E3F6E">
      <w:start w:val="1"/>
      <w:numFmt w:val="bullet"/>
      <w:lvlText w:val="o"/>
      <w:lvlJc w:val="left"/>
      <w:pPr>
        <w:ind w:left="58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348A840">
      <w:start w:val="1"/>
      <w:numFmt w:val="bullet"/>
      <w:lvlText w:val="▪"/>
      <w:lvlJc w:val="left"/>
      <w:pPr>
        <w:ind w:left="65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FCC2FE3"/>
    <w:multiLevelType w:val="hybridMultilevel"/>
    <w:tmpl w:val="157A69C0"/>
    <w:lvl w:ilvl="0" w:tplc="C6983CAC">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22635"/>
    <w:rsid w:val="000312AE"/>
    <w:rsid w:val="00046B5A"/>
    <w:rsid w:val="0009267D"/>
    <w:rsid w:val="000F17DB"/>
    <w:rsid w:val="00185536"/>
    <w:rsid w:val="001906C5"/>
    <w:rsid w:val="001F0832"/>
    <w:rsid w:val="00253598"/>
    <w:rsid w:val="002F352E"/>
    <w:rsid w:val="002F7A29"/>
    <w:rsid w:val="0033037A"/>
    <w:rsid w:val="0034554C"/>
    <w:rsid w:val="00402238"/>
    <w:rsid w:val="004044E6"/>
    <w:rsid w:val="00442236"/>
    <w:rsid w:val="00520AD1"/>
    <w:rsid w:val="005E0E27"/>
    <w:rsid w:val="00631770"/>
    <w:rsid w:val="00637A3E"/>
    <w:rsid w:val="006C4DE9"/>
    <w:rsid w:val="006E681C"/>
    <w:rsid w:val="0070719C"/>
    <w:rsid w:val="00782197"/>
    <w:rsid w:val="00930FD7"/>
    <w:rsid w:val="00946C7B"/>
    <w:rsid w:val="00A22635"/>
    <w:rsid w:val="00A27A47"/>
    <w:rsid w:val="00A3147B"/>
    <w:rsid w:val="00A40F98"/>
    <w:rsid w:val="00A85793"/>
    <w:rsid w:val="00A94C64"/>
    <w:rsid w:val="00AA6BB7"/>
    <w:rsid w:val="00B023DB"/>
    <w:rsid w:val="00B46CB7"/>
    <w:rsid w:val="00B7397C"/>
    <w:rsid w:val="00BE04FB"/>
    <w:rsid w:val="00C0471D"/>
    <w:rsid w:val="00C07D00"/>
    <w:rsid w:val="00C8566E"/>
    <w:rsid w:val="00D24330"/>
    <w:rsid w:val="00D9789B"/>
    <w:rsid w:val="00E020F6"/>
    <w:rsid w:val="00E76D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DED89-80B8-483F-8630-5DB7BFB1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037A"/>
    <w:rPr>
      <w:rFonts w:ascii="Cambria" w:eastAsia="Cambria" w:hAnsi="Cambria" w:cs="Cambria"/>
      <w:color w:val="000000"/>
      <w:sz w:val="24"/>
    </w:rPr>
  </w:style>
  <w:style w:type="paragraph" w:styleId="Titolo1">
    <w:name w:val="heading 1"/>
    <w:next w:val="Normale"/>
    <w:link w:val="Titolo1Carattere"/>
    <w:uiPriority w:val="9"/>
    <w:unhideWhenUsed/>
    <w:qFormat/>
    <w:rsid w:val="0033037A"/>
    <w:pPr>
      <w:keepNext/>
      <w:keepLines/>
      <w:spacing w:after="16"/>
      <w:ind w:left="152" w:hanging="10"/>
      <w:outlineLvl w:val="0"/>
    </w:pPr>
    <w:rPr>
      <w:rFonts w:ascii="Cambria" w:eastAsia="Cambria" w:hAnsi="Cambria" w:cs="Cambria"/>
      <w:b/>
      <w:color w:val="000000"/>
      <w:sz w:val="32"/>
    </w:rPr>
  </w:style>
  <w:style w:type="paragraph" w:styleId="Titolo2">
    <w:name w:val="heading 2"/>
    <w:next w:val="Normale"/>
    <w:link w:val="Titolo2Carattere"/>
    <w:uiPriority w:val="9"/>
    <w:unhideWhenUsed/>
    <w:qFormat/>
    <w:rsid w:val="0033037A"/>
    <w:pPr>
      <w:keepNext/>
      <w:keepLines/>
      <w:spacing w:after="37"/>
      <w:ind w:left="152" w:hanging="10"/>
      <w:outlineLvl w:val="1"/>
    </w:pPr>
    <w:rPr>
      <w:rFonts w:ascii="Cambria" w:eastAsia="Cambria" w:hAnsi="Cambria" w:cs="Cambria"/>
      <w:b/>
      <w:color w:val="000000"/>
      <w:sz w:val="24"/>
    </w:rPr>
  </w:style>
  <w:style w:type="paragraph" w:styleId="Titolo3">
    <w:name w:val="heading 3"/>
    <w:next w:val="Normale"/>
    <w:link w:val="Titolo3Carattere"/>
    <w:uiPriority w:val="9"/>
    <w:unhideWhenUsed/>
    <w:qFormat/>
    <w:rsid w:val="0033037A"/>
    <w:pPr>
      <w:keepNext/>
      <w:keepLines/>
      <w:spacing w:after="37"/>
      <w:ind w:left="152" w:hanging="10"/>
      <w:outlineLvl w:val="2"/>
    </w:pPr>
    <w:rPr>
      <w:rFonts w:ascii="Cambria" w:eastAsia="Cambria" w:hAnsi="Cambria" w:cs="Cambri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3037A"/>
    <w:rPr>
      <w:rFonts w:ascii="Cambria" w:eastAsia="Cambria" w:hAnsi="Cambria" w:cs="Cambria"/>
      <w:b/>
      <w:color w:val="000000"/>
      <w:sz w:val="32"/>
    </w:rPr>
  </w:style>
  <w:style w:type="character" w:customStyle="1" w:styleId="Titolo2Carattere">
    <w:name w:val="Titolo 2 Carattere"/>
    <w:link w:val="Titolo2"/>
    <w:rsid w:val="0033037A"/>
    <w:rPr>
      <w:rFonts w:ascii="Cambria" w:eastAsia="Cambria" w:hAnsi="Cambria" w:cs="Cambria"/>
      <w:b/>
      <w:color w:val="000000"/>
      <w:sz w:val="24"/>
    </w:rPr>
  </w:style>
  <w:style w:type="character" w:customStyle="1" w:styleId="Titolo3Carattere">
    <w:name w:val="Titolo 3 Carattere"/>
    <w:link w:val="Titolo3"/>
    <w:rsid w:val="0033037A"/>
    <w:rPr>
      <w:rFonts w:ascii="Cambria" w:eastAsia="Cambria" w:hAnsi="Cambria" w:cs="Cambria"/>
      <w:b/>
      <w:color w:val="000000"/>
      <w:sz w:val="24"/>
    </w:rPr>
  </w:style>
  <w:style w:type="table" w:customStyle="1" w:styleId="TableGrid">
    <w:name w:val="TableGrid"/>
    <w:rsid w:val="0033037A"/>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C07D00"/>
    <w:pPr>
      <w:tabs>
        <w:tab w:val="center" w:pos="4819"/>
        <w:tab w:val="right" w:pos="9638"/>
      </w:tabs>
    </w:pPr>
  </w:style>
  <w:style w:type="character" w:customStyle="1" w:styleId="PidipaginaCarattere">
    <w:name w:val="Piè di pagina Carattere"/>
    <w:basedOn w:val="Carpredefinitoparagrafo"/>
    <w:link w:val="Pidipagina"/>
    <w:uiPriority w:val="99"/>
    <w:rsid w:val="00C07D00"/>
    <w:rPr>
      <w:rFonts w:ascii="Cambria" w:eastAsia="Cambria" w:hAnsi="Cambria" w:cs="Cambria"/>
      <w:color w:val="000000"/>
      <w:sz w:val="24"/>
    </w:rPr>
  </w:style>
  <w:style w:type="paragraph" w:styleId="Testocommento">
    <w:name w:val="annotation text"/>
    <w:basedOn w:val="Normale"/>
    <w:link w:val="TestocommentoCarattere"/>
    <w:uiPriority w:val="99"/>
    <w:semiHidden/>
    <w:unhideWhenUsed/>
    <w:rsid w:val="00C07D00"/>
    <w:rPr>
      <w:sz w:val="20"/>
      <w:szCs w:val="20"/>
    </w:rPr>
  </w:style>
  <w:style w:type="character" w:customStyle="1" w:styleId="TestocommentoCarattere">
    <w:name w:val="Testo commento Carattere"/>
    <w:basedOn w:val="Carpredefinitoparagrafo"/>
    <w:link w:val="Testocommento"/>
    <w:uiPriority w:val="99"/>
    <w:semiHidden/>
    <w:rsid w:val="00C07D00"/>
    <w:rPr>
      <w:rFonts w:ascii="Cambria" w:eastAsia="Cambria" w:hAnsi="Cambria" w:cs="Cambria"/>
      <w:color w:val="000000"/>
      <w:sz w:val="20"/>
      <w:szCs w:val="20"/>
    </w:rPr>
  </w:style>
  <w:style w:type="paragraph" w:styleId="Soggettocommento">
    <w:name w:val="annotation subject"/>
    <w:basedOn w:val="Testocommento"/>
    <w:next w:val="Testocommento"/>
    <w:link w:val="SoggettocommentoCarattere"/>
    <w:uiPriority w:val="99"/>
    <w:semiHidden/>
    <w:unhideWhenUsed/>
    <w:rsid w:val="00C07D00"/>
    <w:pPr>
      <w:spacing w:after="160"/>
    </w:pPr>
    <w:rPr>
      <w:rFonts w:asciiTheme="minorHAnsi" w:eastAsiaTheme="minorHAnsi" w:hAnsiTheme="minorHAnsi" w:cstheme="minorBidi"/>
      <w:b/>
      <w:bCs/>
      <w:color w:val="auto"/>
      <w:lang w:eastAsia="en-US"/>
    </w:rPr>
  </w:style>
  <w:style w:type="character" w:customStyle="1" w:styleId="SoggettocommentoCarattere">
    <w:name w:val="Soggetto commento Carattere"/>
    <w:basedOn w:val="TestocommentoCarattere"/>
    <w:link w:val="Soggettocommento"/>
    <w:uiPriority w:val="99"/>
    <w:semiHidden/>
    <w:rsid w:val="00C07D00"/>
    <w:rPr>
      <w:rFonts w:ascii="Cambria" w:eastAsiaTheme="minorHAnsi" w:hAnsi="Cambria" w:cs="Cambria"/>
      <w:b/>
      <w:bCs/>
      <w:color w:val="000000"/>
      <w:sz w:val="20"/>
      <w:szCs w:val="20"/>
      <w:lang w:eastAsia="en-US"/>
    </w:rPr>
  </w:style>
  <w:style w:type="paragraph" w:styleId="Paragrafoelenco">
    <w:name w:val="List Paragraph"/>
    <w:basedOn w:val="Normale"/>
    <w:uiPriority w:val="34"/>
    <w:qFormat/>
    <w:rsid w:val="0070719C"/>
    <w:pPr>
      <w:ind w:left="720"/>
      <w:contextualSpacing/>
    </w:pPr>
  </w:style>
  <w:style w:type="paragraph" w:styleId="Testofumetto">
    <w:name w:val="Balloon Text"/>
    <w:basedOn w:val="Normale"/>
    <w:link w:val="TestofumettoCarattere"/>
    <w:uiPriority w:val="99"/>
    <w:semiHidden/>
    <w:unhideWhenUsed/>
    <w:rsid w:val="00520A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0AD1"/>
    <w:rPr>
      <w:rFonts w:ascii="Tahoma" w:eastAsia="Cambr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0F81-3425-4DA7-8A59-442B3C8B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1310</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Microsoft Word - IO_PA01_01_Identificazione</vt:lpstr>
    </vt:vector>
  </TitlesOfParts>
  <Company>ASL TERAMO</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IO_PA01_01_Identificazione</dc:title>
  <dc:subject/>
  <dc:creator>sabatinia</dc:creator>
  <cp:keywords/>
  <cp:lastModifiedBy>De Luca Fabio</cp:lastModifiedBy>
  <cp:revision>26</cp:revision>
  <dcterms:created xsi:type="dcterms:W3CDTF">2016-12-21T17:05:00Z</dcterms:created>
  <dcterms:modified xsi:type="dcterms:W3CDTF">2019-04-11T10:18:00Z</dcterms:modified>
</cp:coreProperties>
</file>