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F13" w:rsidRPr="00884F13" w:rsidRDefault="00884F13" w:rsidP="00884F13">
      <w:pPr>
        <w:spacing w:after="180" w:line="240" w:lineRule="auto"/>
        <w:rPr>
          <w:rFonts w:ascii="Verdana" w:eastAsia="Times New Roman" w:hAnsi="Verdana" w:cs="Times New Roman"/>
          <w:b/>
          <w:bCs/>
          <w:sz w:val="17"/>
          <w:szCs w:val="17"/>
          <w:lang w:eastAsia="it-IT"/>
        </w:rPr>
      </w:pPr>
      <w:r w:rsidRPr="00884F13">
        <w:rPr>
          <w:rFonts w:ascii="Verdana" w:eastAsia="Times New Roman" w:hAnsi="Verdana" w:cs="Times New Roman"/>
          <w:b/>
          <w:bCs/>
          <w:sz w:val="17"/>
          <w:szCs w:val="17"/>
          <w:lang w:eastAsia="it-IT"/>
        </w:rPr>
        <w:t>Legge 06/11/2012 n. 190</w:t>
      </w:r>
    </w:p>
    <w:p w:rsidR="00884F13" w:rsidRPr="00884F13" w:rsidRDefault="00884F13" w:rsidP="00884F13">
      <w:pPr>
        <w:spacing w:before="100" w:beforeAutospacing="1" w:after="100" w:afterAutospacing="1" w:line="240" w:lineRule="auto"/>
        <w:rPr>
          <w:rFonts w:ascii="Verdana" w:eastAsia="Times New Roman" w:hAnsi="Verdana" w:cs="Times New Roman"/>
          <w:sz w:val="17"/>
          <w:szCs w:val="17"/>
          <w:lang w:eastAsia="it-IT"/>
        </w:rPr>
      </w:pPr>
      <w:r w:rsidRPr="00884F13">
        <w:rPr>
          <w:rFonts w:ascii="Verdana" w:eastAsia="Times New Roman" w:hAnsi="Verdana" w:cs="Times New Roman"/>
          <w:b/>
          <w:bCs/>
          <w:sz w:val="17"/>
          <w:szCs w:val="17"/>
          <w:lang w:eastAsia="it-IT"/>
        </w:rPr>
        <w:t>Art. 1</w:t>
      </w:r>
      <w:r w:rsidRPr="00884F13">
        <w:rPr>
          <w:rFonts w:ascii="Verdana" w:eastAsia="Times New Roman" w:hAnsi="Verdana" w:cs="Times New Roman"/>
          <w:sz w:val="17"/>
          <w:szCs w:val="17"/>
          <w:lang w:eastAsia="it-IT"/>
        </w:rPr>
        <w:t xml:space="preserve">  </w:t>
      </w:r>
      <w:r w:rsidRPr="00884F13">
        <w:rPr>
          <w:rFonts w:ascii="Verdana" w:eastAsia="Times New Roman" w:hAnsi="Verdana" w:cs="Times New Roman"/>
          <w:b/>
          <w:bCs/>
          <w:sz w:val="17"/>
          <w:szCs w:val="17"/>
          <w:lang w:eastAsia="it-IT"/>
        </w:rPr>
        <w:t>Disposizioni per la prevenzione e la repressione della corruzione e dell'illegalità nella pubblica amministrazione</w:t>
      </w:r>
    </w:p>
    <w:p w:rsidR="00884F13" w:rsidRPr="00884F13" w:rsidRDefault="00884F13" w:rsidP="00884F13">
      <w:pPr>
        <w:spacing w:after="0" w:line="240" w:lineRule="auto"/>
        <w:rPr>
          <w:rFonts w:ascii="Verdana" w:eastAsia="Times New Roman" w:hAnsi="Verdana" w:cs="Times New Roman"/>
          <w:sz w:val="17"/>
          <w:szCs w:val="17"/>
          <w:lang w:eastAsia="it-IT"/>
        </w:rPr>
      </w:pPr>
      <w:r w:rsidRPr="00884F13">
        <w:rPr>
          <w:rFonts w:ascii="Verdana" w:eastAsia="Times New Roman" w:hAnsi="Verdana" w:cs="Times New Roman"/>
          <w:sz w:val="17"/>
          <w:szCs w:val="17"/>
          <w:lang w:eastAsia="it-IT"/>
        </w:rPr>
        <w:t xml:space="preserve">  </w:t>
      </w:r>
      <w:r w:rsidRPr="00884F13">
        <w:rPr>
          <w:rFonts w:ascii="Verdana" w:eastAsia="Times New Roman" w:hAnsi="Verdana" w:cs="Times New Roman"/>
          <w:b/>
          <w:bCs/>
          <w:sz w:val="17"/>
          <w:szCs w:val="17"/>
          <w:lang w:eastAsia="it-IT"/>
        </w:rPr>
        <w:t>In vigore dal 21 agosto 2013</w:t>
      </w:r>
      <w:r w:rsidRPr="00884F13">
        <w:rPr>
          <w:rFonts w:ascii="Verdana" w:eastAsia="Times New Roman" w:hAnsi="Verdana" w:cs="Times New Roman"/>
          <w:sz w:val="17"/>
          <w:szCs w:val="17"/>
          <w:lang w:eastAsia="it-IT"/>
        </w:rPr>
        <w:t xml:space="preserve"> </w:t>
      </w:r>
    </w:p>
    <w:p w:rsidR="00884F13" w:rsidRDefault="00884F13" w:rsidP="00884F13">
      <w:pPr>
        <w:spacing w:before="100" w:beforeAutospacing="1" w:after="100" w:afterAutospacing="1" w:line="240" w:lineRule="auto"/>
        <w:jc w:val="both"/>
        <w:rPr>
          <w:rFonts w:ascii="Verdana" w:eastAsia="Times New Roman" w:hAnsi="Verdana" w:cs="Times New Roman"/>
          <w:sz w:val="17"/>
          <w:szCs w:val="17"/>
          <w:lang w:eastAsia="it-IT"/>
        </w:rPr>
      </w:pPr>
      <w:r>
        <w:rPr>
          <w:rFonts w:ascii="Verdana" w:eastAsia="Times New Roman" w:hAnsi="Verdana" w:cs="Times New Roman"/>
          <w:sz w:val="17"/>
          <w:szCs w:val="17"/>
          <w:lang w:eastAsia="it-IT"/>
        </w:rPr>
        <w:t>…. Omissis …</w:t>
      </w:r>
    </w:p>
    <w:p w:rsidR="00884F13" w:rsidRPr="00884F13" w:rsidRDefault="00884F13" w:rsidP="00884F13">
      <w:pPr>
        <w:spacing w:before="100" w:beforeAutospacing="1" w:after="100" w:afterAutospacing="1" w:line="240" w:lineRule="auto"/>
        <w:jc w:val="both"/>
        <w:rPr>
          <w:rFonts w:ascii="Verdana" w:eastAsia="Times New Roman" w:hAnsi="Verdana" w:cs="Times New Roman"/>
          <w:sz w:val="17"/>
          <w:szCs w:val="17"/>
          <w:lang w:eastAsia="it-IT"/>
        </w:rPr>
      </w:pPr>
      <w:r w:rsidRPr="00884F13">
        <w:rPr>
          <w:rFonts w:ascii="Verdana" w:eastAsia="Times New Roman" w:hAnsi="Verdana" w:cs="Times New Roman"/>
          <w:sz w:val="17"/>
          <w:szCs w:val="17"/>
          <w:lang w:eastAsia="it-IT"/>
        </w:rPr>
        <w:t>12.  In caso di commissione, all'interno dell'amministrazione, di un reato di corruzione accertato con sentenza passata in giudicato, il responsabile individuato ai sensi del comma 7 del presente articolo risponde ai sensi dell'</w:t>
      </w:r>
      <w:hyperlink r:id="rId5" w:history="1">
        <w:r w:rsidRPr="00884F13">
          <w:rPr>
            <w:rFonts w:ascii="Verdana" w:eastAsia="Times New Roman" w:hAnsi="Verdana" w:cs="Times New Roman"/>
            <w:color w:val="0000FF"/>
            <w:sz w:val="17"/>
            <w:szCs w:val="17"/>
            <w:lang w:eastAsia="it-IT"/>
          </w:rPr>
          <w:t>articolo 21 del decreto legislativo 30 marzo 2001, n. 165</w:t>
        </w:r>
      </w:hyperlink>
      <w:r w:rsidRPr="00884F13">
        <w:rPr>
          <w:rFonts w:ascii="Verdana" w:eastAsia="Times New Roman" w:hAnsi="Verdana" w:cs="Times New Roman"/>
          <w:sz w:val="17"/>
          <w:szCs w:val="17"/>
          <w:lang w:eastAsia="it-IT"/>
        </w:rPr>
        <w:t>, e successive modificazioni, nonché sul piano disciplinare, oltre che per il danno erariale e all'immagine della pubblica amministrazione, salvo che provi tutte le seguenti circostanze:</w:t>
      </w:r>
    </w:p>
    <w:p w:rsidR="00884F13" w:rsidRPr="00884F13" w:rsidRDefault="00884F13" w:rsidP="00884F13">
      <w:pPr>
        <w:spacing w:after="0" w:line="240" w:lineRule="auto"/>
        <w:ind w:firstLine="400"/>
        <w:jc w:val="both"/>
        <w:rPr>
          <w:rFonts w:ascii="Verdana" w:eastAsia="Times New Roman" w:hAnsi="Verdana" w:cs="Times New Roman"/>
          <w:sz w:val="17"/>
          <w:szCs w:val="17"/>
          <w:lang w:eastAsia="it-IT"/>
        </w:rPr>
      </w:pPr>
      <w:r w:rsidRPr="00884F13">
        <w:rPr>
          <w:rFonts w:ascii="Verdana" w:eastAsia="Times New Roman" w:hAnsi="Verdana" w:cs="Times New Roman"/>
          <w:sz w:val="17"/>
          <w:szCs w:val="17"/>
          <w:lang w:eastAsia="it-IT"/>
        </w:rPr>
        <w:t xml:space="preserve">a)  di avere predisposto, prima della commissione del fatto, il piano di cui al comma 5 e di aver osservato le prescrizioni di cui ai commi 9 e 10 del presente articolo; </w:t>
      </w:r>
    </w:p>
    <w:p w:rsidR="00884F13" w:rsidRPr="00884F13" w:rsidRDefault="00884F13" w:rsidP="00884F13">
      <w:pPr>
        <w:spacing w:after="0" w:line="240" w:lineRule="auto"/>
        <w:ind w:firstLine="400"/>
        <w:jc w:val="both"/>
        <w:rPr>
          <w:rFonts w:ascii="Verdana" w:eastAsia="Times New Roman" w:hAnsi="Verdana" w:cs="Times New Roman"/>
          <w:sz w:val="17"/>
          <w:szCs w:val="17"/>
          <w:lang w:eastAsia="it-IT"/>
        </w:rPr>
      </w:pPr>
      <w:r w:rsidRPr="00884F13">
        <w:rPr>
          <w:rFonts w:ascii="Verdana" w:eastAsia="Times New Roman" w:hAnsi="Verdana" w:cs="Times New Roman"/>
          <w:sz w:val="17"/>
          <w:szCs w:val="17"/>
          <w:lang w:eastAsia="it-IT"/>
        </w:rPr>
        <w:t>b)  di aver vigilato sul funzionamento e sull'osservanza del piano.</w:t>
      </w:r>
    </w:p>
    <w:p w:rsidR="00884F13" w:rsidRPr="00884F13" w:rsidRDefault="00884F13" w:rsidP="00884F13">
      <w:pPr>
        <w:spacing w:before="100" w:beforeAutospacing="1" w:after="100" w:afterAutospacing="1" w:line="240" w:lineRule="auto"/>
        <w:jc w:val="both"/>
        <w:rPr>
          <w:rFonts w:ascii="Verdana" w:eastAsia="Times New Roman" w:hAnsi="Verdana" w:cs="Times New Roman"/>
          <w:sz w:val="17"/>
          <w:szCs w:val="17"/>
          <w:lang w:eastAsia="it-IT"/>
        </w:rPr>
      </w:pPr>
      <w:r w:rsidRPr="00884F13">
        <w:rPr>
          <w:rFonts w:ascii="Verdana" w:eastAsia="Times New Roman" w:hAnsi="Verdana" w:cs="Times New Roman"/>
          <w:sz w:val="17"/>
          <w:szCs w:val="17"/>
          <w:lang w:eastAsia="it-IT"/>
        </w:rPr>
        <w:t>13.  La sanzione disciplinare a carico del responsabile individuato ai sensi del comma 7 non può essere inferiore alla sospensione dal servizio con privazione della retribuzione da un minimo di un mese ad un massimo di sei mesi.</w:t>
      </w:r>
    </w:p>
    <w:p w:rsidR="00884F13" w:rsidRPr="00884F13" w:rsidRDefault="00884F13" w:rsidP="00884F13">
      <w:pPr>
        <w:spacing w:before="100" w:beforeAutospacing="1" w:after="100" w:afterAutospacing="1" w:line="240" w:lineRule="auto"/>
        <w:jc w:val="both"/>
        <w:rPr>
          <w:rFonts w:ascii="Verdana" w:eastAsia="Times New Roman" w:hAnsi="Verdana" w:cs="Times New Roman"/>
          <w:sz w:val="17"/>
          <w:szCs w:val="17"/>
          <w:lang w:eastAsia="it-IT"/>
        </w:rPr>
      </w:pPr>
      <w:r w:rsidRPr="00884F13">
        <w:rPr>
          <w:rFonts w:ascii="Verdana" w:eastAsia="Times New Roman" w:hAnsi="Verdana" w:cs="Times New Roman"/>
          <w:sz w:val="17"/>
          <w:szCs w:val="17"/>
          <w:lang w:eastAsia="it-IT"/>
        </w:rPr>
        <w:t>14.  In caso di ripetute violazioni delle misure di prevenzione previste dal piano, il responsabile individuato ai sensi del comma 7 del presente articolo risponde ai sensi dell'</w:t>
      </w:r>
      <w:hyperlink r:id="rId6" w:history="1">
        <w:r w:rsidRPr="00884F13">
          <w:rPr>
            <w:rFonts w:ascii="Verdana" w:eastAsia="Times New Roman" w:hAnsi="Verdana" w:cs="Times New Roman"/>
            <w:color w:val="0000FF"/>
            <w:sz w:val="17"/>
            <w:szCs w:val="17"/>
            <w:lang w:eastAsia="it-IT"/>
          </w:rPr>
          <w:t>articolo 21 del decreto legislativo 30 marzo 2001, n. 165</w:t>
        </w:r>
      </w:hyperlink>
      <w:r w:rsidRPr="00884F13">
        <w:rPr>
          <w:rFonts w:ascii="Verdana" w:eastAsia="Times New Roman" w:hAnsi="Verdana" w:cs="Times New Roman"/>
          <w:sz w:val="17"/>
          <w:szCs w:val="17"/>
          <w:lang w:eastAsia="it-IT"/>
        </w:rPr>
        <w:t>, e successive modificazioni, nonché, per omesso controllo, sul piano disciplinare. La violazione, da parte dei dipendenti dell'amministrazione, delle misure di prevenzione previste dal piano costituisce illecito disciplinare. Entro il 15 dicembre di ogni anno, il dirigente individuato ai sensi del comma 7 del presente articolo pubblica nel sito web dell'amministrazione una relazione recante i risultati dell'attività svolta e la trasmette all'organo di indirizzo politico dell'amministrazione. Nei casi in cui l'organo di indirizzo politico lo richieda o qualora il dirigente responsabile lo ritenga opportuno, quest'ultimo riferisce sull'attività.</w:t>
      </w:r>
    </w:p>
    <w:p w:rsidR="00884F13" w:rsidRDefault="00884F13">
      <w:pPr>
        <w:rPr>
          <w:rStyle w:val="provvnumcomma"/>
          <w:rFonts w:ascii="Verdana" w:hAnsi="Verdana"/>
          <w:sz w:val="17"/>
          <w:szCs w:val="17"/>
        </w:rPr>
      </w:pPr>
      <w:r>
        <w:rPr>
          <w:rStyle w:val="provvnumcomma"/>
          <w:rFonts w:ascii="Verdana" w:hAnsi="Verdana"/>
          <w:sz w:val="17"/>
          <w:szCs w:val="17"/>
        </w:rPr>
        <w:t>… omissis …</w:t>
      </w:r>
    </w:p>
    <w:p w:rsidR="00884F13" w:rsidRDefault="00884F13">
      <w:pPr>
        <w:rPr>
          <w:rFonts w:ascii="Verdana" w:hAnsi="Verdana"/>
          <w:sz w:val="17"/>
          <w:szCs w:val="17"/>
        </w:rPr>
      </w:pPr>
      <w:r>
        <w:rPr>
          <w:rStyle w:val="provvnumcomma"/>
          <w:rFonts w:ascii="Verdana" w:hAnsi="Verdana"/>
          <w:sz w:val="17"/>
          <w:szCs w:val="17"/>
        </w:rPr>
        <w:t>51.</w:t>
      </w:r>
      <w:r>
        <w:rPr>
          <w:rFonts w:ascii="Verdana" w:hAnsi="Verdana"/>
          <w:sz w:val="17"/>
          <w:szCs w:val="17"/>
        </w:rPr>
        <w:t>  Dopo l'</w:t>
      </w:r>
      <w:hyperlink r:id="rId7" w:history="1">
        <w:r>
          <w:rPr>
            <w:rStyle w:val="linkneltesto"/>
            <w:rFonts w:ascii="Verdana" w:hAnsi="Verdana"/>
            <w:color w:val="0000FF"/>
            <w:sz w:val="17"/>
            <w:szCs w:val="17"/>
          </w:rPr>
          <w:t>articolo 54 del decreto legislativo 30 marzo 2001, n. 165</w:t>
        </w:r>
      </w:hyperlink>
      <w:r>
        <w:rPr>
          <w:rFonts w:ascii="Verdana" w:hAnsi="Verdana"/>
          <w:sz w:val="17"/>
          <w:szCs w:val="17"/>
        </w:rPr>
        <w:t>, è inserito il seguente:</w:t>
      </w:r>
      <w:r>
        <w:rPr>
          <w:rFonts w:ascii="Verdana" w:hAnsi="Verdana"/>
          <w:sz w:val="17"/>
          <w:szCs w:val="17"/>
        </w:rPr>
        <w:br/>
        <w:t xml:space="preserve">«Art. 54-bis. - (Tutela del dipendente pubblico che segnala illeciti). - 1. Fuori dei casi di responsabilità a titolo di calunnia o diffamazione, ovvero per lo stesso titolo ai sensi </w:t>
      </w:r>
      <w:hyperlink r:id="rId8" w:history="1">
        <w:r>
          <w:rPr>
            <w:rStyle w:val="Collegamentoipertestuale"/>
            <w:rFonts w:ascii="Verdana" w:hAnsi="Verdana"/>
            <w:sz w:val="17"/>
            <w:szCs w:val="17"/>
          </w:rPr>
          <w:t>dell'articolo 2043 del codice civile</w:t>
        </w:r>
      </w:hyperlink>
      <w:r>
        <w:rPr>
          <w:rFonts w:ascii="Verdana" w:hAnsi="Verdana"/>
          <w:sz w:val="17"/>
          <w:szCs w:val="17"/>
        </w:rPr>
        <w:t>, il pubblico dipendente che denuncia all'autorità giudiziaria o alla Corte dei conti, ovvero riferisce al proprio superiore gerarchico condotte illecite di cui sia venuto a conoscenza in ragione del rapporto di lavoro, non può essere sanzionato, licenziato o sottoposto ad una misura discriminatoria, diretta o indiretta, avente effetti sulle condizioni di lavoro per motivi collegati direttamente o indirettamente alla denuncia.</w:t>
      </w:r>
      <w:r>
        <w:rPr>
          <w:rFonts w:ascii="Verdana" w:hAnsi="Verdana"/>
          <w:sz w:val="17"/>
          <w:szCs w:val="17"/>
        </w:rPr>
        <w:br/>
        <w:t>2. Nell'ambito del procedimento disciplinare, l'identità del segnalante non può essere rivelata, senza il suo consenso, sempre che la contestazione dell'addebito disciplinare sia fondata su accertamenti distinti e ulteriori rispetto alla segnalazione. Qualora la contestazione sia fondata, in tutto o in parte, sulla segnalazione, l'identità può essere rivelata ove la sua conoscenza sia assolutamente indispensabile per la difesa dell'incolpato.</w:t>
      </w:r>
      <w:r>
        <w:rPr>
          <w:rFonts w:ascii="Verdana" w:hAnsi="Verdana"/>
          <w:sz w:val="17"/>
          <w:szCs w:val="17"/>
        </w:rPr>
        <w:br/>
        <w:t>3. L'adozione di misure discriminatorie è segnalata al Dipartimento della funzione pubblica, per i provvedimenti di competenza, dall'interessato o dalle organizzazioni sindacali maggiormente rappresentative nell'amministrazione nella quale le stesse sono state poste in essere.</w:t>
      </w:r>
      <w:r>
        <w:rPr>
          <w:rFonts w:ascii="Verdana" w:hAnsi="Verdana"/>
          <w:sz w:val="17"/>
          <w:szCs w:val="17"/>
        </w:rPr>
        <w:br/>
        <w:t xml:space="preserve">4. La denuncia è sottratta all'accesso previsto dagli </w:t>
      </w:r>
      <w:hyperlink r:id="rId9" w:history="1">
        <w:r>
          <w:rPr>
            <w:rStyle w:val="linkneltesto"/>
            <w:rFonts w:ascii="Verdana" w:hAnsi="Verdana"/>
            <w:color w:val="0000FF"/>
            <w:sz w:val="17"/>
            <w:szCs w:val="17"/>
          </w:rPr>
          <w:t>articoli 22 e seguenti della legge 7 agosto 1990, n. 241</w:t>
        </w:r>
      </w:hyperlink>
      <w:r>
        <w:rPr>
          <w:rFonts w:ascii="Verdana" w:hAnsi="Verdana"/>
          <w:sz w:val="17"/>
          <w:szCs w:val="17"/>
        </w:rPr>
        <w:t>, e successive modificazioni.».</w:t>
      </w:r>
    </w:p>
    <w:p w:rsidR="00884F13" w:rsidRDefault="00884F13">
      <w:pPr>
        <w:rPr>
          <w:rFonts w:ascii="Verdana" w:hAnsi="Verdana"/>
          <w:sz w:val="17"/>
          <w:szCs w:val="17"/>
        </w:rPr>
      </w:pPr>
    </w:p>
    <w:p w:rsidR="00884F13" w:rsidRDefault="00884F13">
      <w:r>
        <w:rPr>
          <w:rFonts w:ascii="Verdana" w:hAnsi="Verdana"/>
          <w:sz w:val="17"/>
          <w:szCs w:val="17"/>
        </w:rPr>
        <w:t>…omissis …</w:t>
      </w:r>
      <w:bookmarkStart w:id="0" w:name="_GoBack"/>
      <w:bookmarkEnd w:id="0"/>
    </w:p>
    <w:sectPr w:rsidR="00884F1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C53"/>
    <w:rsid w:val="00446E55"/>
    <w:rsid w:val="00884F13"/>
    <w:rsid w:val="00DB2C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ovvr0">
    <w:name w:val="provv_r0"/>
    <w:basedOn w:val="Normale"/>
    <w:rsid w:val="00884F13"/>
    <w:pPr>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character" w:customStyle="1" w:styleId="provvnumcomma">
    <w:name w:val="provv_numcomma"/>
    <w:basedOn w:val="Carpredefinitoparagrafo"/>
    <w:rsid w:val="00884F13"/>
  </w:style>
  <w:style w:type="character" w:customStyle="1" w:styleId="linkneltesto">
    <w:name w:val="link_nel_testo"/>
    <w:basedOn w:val="Carpredefinitoparagrafo"/>
    <w:rsid w:val="00884F13"/>
  </w:style>
  <w:style w:type="character" w:styleId="Collegamentoipertestuale">
    <w:name w:val="Hyperlink"/>
    <w:basedOn w:val="Carpredefinitoparagrafo"/>
    <w:uiPriority w:val="99"/>
    <w:semiHidden/>
    <w:unhideWhenUsed/>
    <w:rsid w:val="00884F13"/>
    <w:rPr>
      <w:i w:val="0"/>
      <w:iCs w:val="0"/>
      <w:strike w:val="0"/>
      <w:dstrike w:val="0"/>
      <w:color w:val="0000FF"/>
      <w:u w:val="none"/>
      <w:effect w:val="none"/>
    </w:rPr>
  </w:style>
  <w:style w:type="paragraph" w:styleId="NormaleWeb">
    <w:name w:val="Normal (Web)"/>
    <w:basedOn w:val="Normale"/>
    <w:uiPriority w:val="99"/>
    <w:semiHidden/>
    <w:unhideWhenUsed/>
    <w:rsid w:val="00884F1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numart">
    <w:name w:val="provv_numart"/>
    <w:basedOn w:val="Carpredefinitoparagrafo"/>
    <w:rsid w:val="00884F13"/>
    <w:rPr>
      <w:b/>
      <w:bCs/>
    </w:rPr>
  </w:style>
  <w:style w:type="character" w:customStyle="1" w:styleId="provvrubrica">
    <w:name w:val="provv_rubrica"/>
    <w:basedOn w:val="Carpredefinitoparagrafo"/>
    <w:rsid w:val="00884F13"/>
    <w:rPr>
      <w:b/>
      <w:bCs/>
    </w:rPr>
  </w:style>
  <w:style w:type="character" w:customStyle="1" w:styleId="provvvigore">
    <w:name w:val="provv_vigore"/>
    <w:basedOn w:val="Carpredefinitoparagrafo"/>
    <w:rsid w:val="00884F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ovvr0">
    <w:name w:val="provv_r0"/>
    <w:basedOn w:val="Normale"/>
    <w:rsid w:val="00884F13"/>
    <w:pPr>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character" w:customStyle="1" w:styleId="provvnumcomma">
    <w:name w:val="provv_numcomma"/>
    <w:basedOn w:val="Carpredefinitoparagrafo"/>
    <w:rsid w:val="00884F13"/>
  </w:style>
  <w:style w:type="character" w:customStyle="1" w:styleId="linkneltesto">
    <w:name w:val="link_nel_testo"/>
    <w:basedOn w:val="Carpredefinitoparagrafo"/>
    <w:rsid w:val="00884F13"/>
  </w:style>
  <w:style w:type="character" w:styleId="Collegamentoipertestuale">
    <w:name w:val="Hyperlink"/>
    <w:basedOn w:val="Carpredefinitoparagrafo"/>
    <w:uiPriority w:val="99"/>
    <w:semiHidden/>
    <w:unhideWhenUsed/>
    <w:rsid w:val="00884F13"/>
    <w:rPr>
      <w:i w:val="0"/>
      <w:iCs w:val="0"/>
      <w:strike w:val="0"/>
      <w:dstrike w:val="0"/>
      <w:color w:val="0000FF"/>
      <w:u w:val="none"/>
      <w:effect w:val="none"/>
    </w:rPr>
  </w:style>
  <w:style w:type="paragraph" w:styleId="NormaleWeb">
    <w:name w:val="Normal (Web)"/>
    <w:basedOn w:val="Normale"/>
    <w:uiPriority w:val="99"/>
    <w:semiHidden/>
    <w:unhideWhenUsed/>
    <w:rsid w:val="00884F1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numart">
    <w:name w:val="provv_numart"/>
    <w:basedOn w:val="Carpredefinitoparagrafo"/>
    <w:rsid w:val="00884F13"/>
    <w:rPr>
      <w:b/>
      <w:bCs/>
    </w:rPr>
  </w:style>
  <w:style w:type="character" w:customStyle="1" w:styleId="provvrubrica">
    <w:name w:val="provv_rubrica"/>
    <w:basedOn w:val="Carpredefinitoparagrafo"/>
    <w:rsid w:val="00884F13"/>
    <w:rPr>
      <w:b/>
      <w:bCs/>
    </w:rPr>
  </w:style>
  <w:style w:type="character" w:customStyle="1" w:styleId="provvvigore">
    <w:name w:val="provv_vigore"/>
    <w:basedOn w:val="Carpredefinitoparagrafo"/>
    <w:rsid w:val="00884F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184037">
      <w:bodyDiv w:val="1"/>
      <w:marLeft w:val="0"/>
      <w:marRight w:val="0"/>
      <w:marTop w:val="0"/>
      <w:marBottom w:val="0"/>
      <w:divBdr>
        <w:top w:val="none" w:sz="0" w:space="0" w:color="auto"/>
        <w:left w:val="none" w:sz="0" w:space="0" w:color="auto"/>
        <w:bottom w:val="none" w:sz="0" w:space="0" w:color="auto"/>
        <w:right w:val="none" w:sz="0" w:space="0" w:color="auto"/>
      </w:divBdr>
      <w:divsChild>
        <w:div w:id="1788498365">
          <w:marLeft w:val="0"/>
          <w:marRight w:val="0"/>
          <w:marTop w:val="0"/>
          <w:marBottom w:val="0"/>
          <w:divBdr>
            <w:top w:val="none" w:sz="0" w:space="0" w:color="auto"/>
            <w:left w:val="none" w:sz="0" w:space="0" w:color="auto"/>
            <w:bottom w:val="none" w:sz="0" w:space="0" w:color="auto"/>
            <w:right w:val="none" w:sz="0" w:space="0" w:color="auto"/>
          </w:divBdr>
          <w:divsChild>
            <w:div w:id="915171194">
              <w:marLeft w:val="0"/>
              <w:marRight w:val="0"/>
              <w:marTop w:val="0"/>
              <w:marBottom w:val="0"/>
              <w:divBdr>
                <w:top w:val="none" w:sz="0" w:space="0" w:color="auto"/>
                <w:left w:val="none" w:sz="0" w:space="0" w:color="auto"/>
                <w:bottom w:val="none" w:sz="0" w:space="0" w:color="auto"/>
                <w:right w:val="none" w:sz="0" w:space="0" w:color="auto"/>
              </w:divBdr>
              <w:divsChild>
                <w:div w:id="1176652910">
                  <w:marLeft w:val="0"/>
                  <w:marRight w:val="0"/>
                  <w:marTop w:val="0"/>
                  <w:marBottom w:val="180"/>
                  <w:divBdr>
                    <w:top w:val="none" w:sz="0" w:space="0" w:color="auto"/>
                    <w:left w:val="none" w:sz="0" w:space="0" w:color="auto"/>
                    <w:bottom w:val="none" w:sz="0" w:space="0" w:color="auto"/>
                    <w:right w:val="none" w:sz="0" w:space="0" w:color="auto"/>
                  </w:divBdr>
                </w:div>
                <w:div w:id="8804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936033">
      <w:bodyDiv w:val="1"/>
      <w:marLeft w:val="0"/>
      <w:marRight w:val="0"/>
      <w:marTop w:val="0"/>
      <w:marBottom w:val="0"/>
      <w:divBdr>
        <w:top w:val="none" w:sz="0" w:space="0" w:color="auto"/>
        <w:left w:val="none" w:sz="0" w:space="0" w:color="auto"/>
        <w:bottom w:val="none" w:sz="0" w:space="0" w:color="auto"/>
        <w:right w:val="none" w:sz="0" w:space="0" w:color="auto"/>
      </w:divBdr>
      <w:divsChild>
        <w:div w:id="520634222">
          <w:marLeft w:val="0"/>
          <w:marRight w:val="0"/>
          <w:marTop w:val="0"/>
          <w:marBottom w:val="0"/>
          <w:divBdr>
            <w:top w:val="none" w:sz="0" w:space="0" w:color="auto"/>
            <w:left w:val="none" w:sz="0" w:space="0" w:color="auto"/>
            <w:bottom w:val="none" w:sz="0" w:space="0" w:color="auto"/>
            <w:right w:val="none" w:sz="0" w:space="0" w:color="auto"/>
          </w:divBdr>
          <w:divsChild>
            <w:div w:id="570239246">
              <w:marLeft w:val="0"/>
              <w:marRight w:val="0"/>
              <w:marTop w:val="0"/>
              <w:marBottom w:val="0"/>
              <w:divBdr>
                <w:top w:val="none" w:sz="0" w:space="0" w:color="auto"/>
                <w:left w:val="none" w:sz="0" w:space="0" w:color="auto"/>
                <w:bottom w:val="none" w:sz="0" w:space="0" w:color="auto"/>
                <w:right w:val="none" w:sz="0" w:space="0" w:color="auto"/>
              </w:divBdr>
              <w:divsChild>
                <w:div w:id="7906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kernel.go('show_doc',%7bmask:'show',id:'I020AC00002145',tipo:'leggi',pos:0,ds_name:'nazionali'%7d)" TargetMode="External"/><Relationship Id="rId3" Type="http://schemas.openxmlformats.org/officeDocument/2006/relationships/settings" Target="settings.xml"/><Relationship Id="rId7" Type="http://schemas.openxmlformats.org/officeDocument/2006/relationships/hyperlink" Target="javascript:kernel.go('show_doc',%7bmask:'show',id:'I020LX0000145985ART60',tipo:'leggi',pos:0,ds_name:'nazionali'%7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kernel.go('show_doc',%7bmask:'show',id:'I020LX0000145985ART24',tipo:'leggi',pos:0,ds_name:'nazionali'%7d)" TargetMode="External"/><Relationship Id="rId11" Type="http://schemas.openxmlformats.org/officeDocument/2006/relationships/theme" Target="theme/theme1.xml"/><Relationship Id="rId5" Type="http://schemas.openxmlformats.org/officeDocument/2006/relationships/hyperlink" Target="javascript:kernel.go('show_doc',%7bmask:'show',id:'I020LX0000145985ART24',tipo:'leggi',pos:0,ds_name:'nazionali'%7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kernel.go('show_doc',%7bmask:'show',id:'I020LX0000110183ART25',tipo:'leggi',pos:0,ds_name:'nazionali'%7d)"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643</Words>
  <Characters>3671</Characters>
  <Application>Microsoft Office Word</Application>
  <DocSecurity>0</DocSecurity>
  <Lines>30</Lines>
  <Paragraphs>8</Paragraphs>
  <ScaleCrop>false</ScaleCrop>
  <Company>ASL Teramo</Company>
  <LinksUpToDate>false</LinksUpToDate>
  <CharactersWithSpaces>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Marzio Rossella</dc:creator>
  <cp:keywords/>
  <dc:description/>
  <cp:lastModifiedBy>Di Marzio Rossella</cp:lastModifiedBy>
  <cp:revision>2</cp:revision>
  <dcterms:created xsi:type="dcterms:W3CDTF">2013-11-05T14:58:00Z</dcterms:created>
  <dcterms:modified xsi:type="dcterms:W3CDTF">2013-11-05T15:06:00Z</dcterms:modified>
</cp:coreProperties>
</file>